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243" w:rsidRPr="002A54AE" w:rsidRDefault="00FF3243" w:rsidP="002A54AE">
      <w:pPr>
        <w:spacing w:after="600" w:line="276" w:lineRule="auto"/>
        <w:rPr>
          <w:rFonts w:ascii="Arial" w:hAnsi="Arial" w:cs="Arial"/>
          <w:color w:val="000000" w:themeColor="text1"/>
        </w:rPr>
      </w:pPr>
      <w:bookmarkStart w:id="0" w:name="_GoBack"/>
      <w:bookmarkEnd w:id="0"/>
      <w:r w:rsidRPr="00327458">
        <w:rPr>
          <w:rFonts w:ascii="Arial" w:hAnsi="Arial" w:cs="Arial"/>
          <w:color w:val="000000" w:themeColor="text1"/>
        </w:rPr>
        <w:t>Załącznik do Regionalnego Plan Rozwoju i Deinstytucjonalizacji Usług Społecznych i</w:t>
      </w:r>
      <w:r w:rsidR="002A54AE">
        <w:rPr>
          <w:rFonts w:ascii="Arial" w:hAnsi="Arial" w:cs="Arial"/>
          <w:color w:val="000000" w:themeColor="text1"/>
        </w:rPr>
        <w:t> </w:t>
      </w:r>
      <w:r w:rsidRPr="00327458">
        <w:rPr>
          <w:rFonts w:ascii="Arial" w:hAnsi="Arial" w:cs="Arial"/>
          <w:color w:val="000000" w:themeColor="text1"/>
        </w:rPr>
        <w:t>Zdrowotnych w Województwie Pomorskim na lata 2023-2025</w:t>
      </w:r>
    </w:p>
    <w:p w:rsidR="009810AD" w:rsidRPr="00327458" w:rsidRDefault="009810AD" w:rsidP="00BF31C0">
      <w:pPr>
        <w:pStyle w:val="Nagwek1"/>
        <w:spacing w:before="0" w:after="600"/>
        <w:rPr>
          <w:rFonts w:cs="Arial"/>
          <w:color w:val="000000" w:themeColor="text1"/>
        </w:rPr>
      </w:pPr>
      <w:r w:rsidRPr="00327458">
        <w:rPr>
          <w:rFonts w:cs="Arial"/>
          <w:color w:val="000000" w:themeColor="text1"/>
        </w:rPr>
        <w:t>Diagnoza w zakresie deinstytucjonalizacji usług społecznych i zdrowotnych – województwo pomorskie</w:t>
      </w:r>
    </w:p>
    <w:p w:rsidR="009D2E46" w:rsidRPr="00327458" w:rsidRDefault="00152B6E" w:rsidP="00AB6398">
      <w:pPr>
        <w:spacing w:after="0" w:line="360" w:lineRule="auto"/>
        <w:rPr>
          <w:rFonts w:ascii="Arial" w:hAnsi="Arial" w:cs="Arial"/>
          <w:color w:val="000000" w:themeColor="text1"/>
        </w:rPr>
      </w:pPr>
      <w:r w:rsidRPr="00327458">
        <w:rPr>
          <w:rFonts w:ascii="Arial" w:hAnsi="Arial" w:cs="Arial"/>
          <w:color w:val="000000" w:themeColor="text1"/>
        </w:rPr>
        <w:t>Deinstytucjonalizacja (DI)</w:t>
      </w:r>
      <w:r w:rsidR="00B3377D" w:rsidRPr="00327458">
        <w:rPr>
          <w:rFonts w:ascii="Arial" w:hAnsi="Arial" w:cs="Arial"/>
          <w:color w:val="000000" w:themeColor="text1"/>
        </w:rPr>
        <w:t xml:space="preserve"> </w:t>
      </w:r>
      <w:r w:rsidR="009D2E46" w:rsidRPr="00327458">
        <w:rPr>
          <w:rFonts w:ascii="Arial" w:hAnsi="Arial" w:cs="Arial"/>
          <w:color w:val="000000" w:themeColor="text1"/>
        </w:rPr>
        <w:t>to proces przejścia od opieki instytucjonalnej do usług świadczonych w społeczności lokalnej</w:t>
      </w:r>
      <w:r w:rsidR="009D2E46" w:rsidRPr="00327458">
        <w:rPr>
          <w:rStyle w:val="Odwoanieprzypisudolnego"/>
          <w:rFonts w:ascii="Arial" w:hAnsi="Arial" w:cs="Arial"/>
          <w:color w:val="000000" w:themeColor="text1"/>
        </w:rPr>
        <w:footnoteReference w:id="1"/>
      </w:r>
      <w:r w:rsidR="009D2E46" w:rsidRPr="00327458">
        <w:rPr>
          <w:rFonts w:ascii="Arial" w:hAnsi="Arial" w:cs="Arial"/>
          <w:color w:val="000000" w:themeColor="text1"/>
        </w:rPr>
        <w:t xml:space="preserve">. </w:t>
      </w:r>
      <w:r w:rsidR="005836DC" w:rsidRPr="00327458">
        <w:rPr>
          <w:rFonts w:ascii="Arial" w:hAnsi="Arial" w:cs="Arial"/>
          <w:color w:val="000000" w:themeColor="text1"/>
        </w:rPr>
        <w:t>Proces ten składa się z trzech typów działań: 1)</w:t>
      </w:r>
      <w:r w:rsidR="00383AB0">
        <w:rPr>
          <w:rFonts w:ascii="Arial" w:hAnsi="Arial" w:cs="Arial"/>
          <w:color w:val="000000" w:themeColor="text1"/>
        </w:rPr>
        <w:t> </w:t>
      </w:r>
      <w:r w:rsidR="005836DC" w:rsidRPr="00327458">
        <w:rPr>
          <w:rFonts w:ascii="Arial" w:hAnsi="Arial" w:cs="Arial"/>
          <w:color w:val="000000" w:themeColor="text1"/>
        </w:rPr>
        <w:t>rozwoju usług świadczonych na poziomie lokalnym; 2) przeniesienia zasobów z opieki instytucjonalnej w środowiska lokalne; 3) ograniczania usług świadczonych instytucjonalnie.</w:t>
      </w:r>
      <w:r w:rsidR="00314FE2" w:rsidRPr="00327458">
        <w:rPr>
          <w:rFonts w:ascii="Arial" w:hAnsi="Arial" w:cs="Arial"/>
          <w:color w:val="000000" w:themeColor="text1"/>
        </w:rPr>
        <w:t xml:space="preserve"> </w:t>
      </w:r>
      <w:r w:rsidR="00F0618A" w:rsidRPr="00327458">
        <w:rPr>
          <w:rFonts w:ascii="Arial" w:hAnsi="Arial" w:cs="Arial"/>
          <w:color w:val="000000" w:themeColor="text1"/>
        </w:rPr>
        <w:t>Ś</w:t>
      </w:r>
      <w:r w:rsidR="00314FE2" w:rsidRPr="00327458">
        <w:rPr>
          <w:rFonts w:ascii="Arial" w:hAnsi="Arial" w:cs="Arial"/>
          <w:color w:val="000000" w:themeColor="text1"/>
        </w:rPr>
        <w:t>wiadczeni</w:t>
      </w:r>
      <w:r w:rsidR="00F0618A" w:rsidRPr="00327458">
        <w:rPr>
          <w:rFonts w:ascii="Arial" w:hAnsi="Arial" w:cs="Arial"/>
          <w:color w:val="000000" w:themeColor="text1"/>
        </w:rPr>
        <w:t>e</w:t>
      </w:r>
      <w:r w:rsidR="00314FE2" w:rsidRPr="00327458">
        <w:rPr>
          <w:rFonts w:ascii="Arial" w:hAnsi="Arial" w:cs="Arial"/>
          <w:color w:val="000000" w:themeColor="text1"/>
        </w:rPr>
        <w:t xml:space="preserve"> usług</w:t>
      </w:r>
      <w:r w:rsidR="004A0144" w:rsidRPr="00327458">
        <w:rPr>
          <w:rFonts w:ascii="Arial" w:hAnsi="Arial" w:cs="Arial"/>
          <w:color w:val="000000" w:themeColor="text1"/>
        </w:rPr>
        <w:t xml:space="preserve"> w społeczności lokalne</w:t>
      </w:r>
      <w:r w:rsidR="005C4C8B" w:rsidRPr="00327458">
        <w:rPr>
          <w:rFonts w:ascii="Arial" w:hAnsi="Arial" w:cs="Arial"/>
          <w:color w:val="000000" w:themeColor="text1"/>
        </w:rPr>
        <w:t>j</w:t>
      </w:r>
      <w:r w:rsidR="004A0144" w:rsidRPr="00327458">
        <w:rPr>
          <w:rFonts w:ascii="Arial" w:hAnsi="Arial" w:cs="Arial"/>
          <w:color w:val="000000" w:themeColor="text1"/>
        </w:rPr>
        <w:t xml:space="preserve"> </w:t>
      </w:r>
      <w:r w:rsidR="00F0618A" w:rsidRPr="00327458">
        <w:rPr>
          <w:rFonts w:ascii="Arial" w:hAnsi="Arial" w:cs="Arial"/>
          <w:color w:val="000000" w:themeColor="text1"/>
        </w:rPr>
        <w:t>ma na celu</w:t>
      </w:r>
      <w:r w:rsidR="004A0144" w:rsidRPr="00327458">
        <w:rPr>
          <w:rFonts w:ascii="Arial" w:hAnsi="Arial" w:cs="Arial"/>
          <w:color w:val="000000" w:themeColor="text1"/>
        </w:rPr>
        <w:t xml:space="preserve"> utrzymanie więzi rodzinnych i</w:t>
      </w:r>
      <w:r w:rsidR="0021059B" w:rsidRPr="00327458">
        <w:rPr>
          <w:rFonts w:ascii="Arial" w:hAnsi="Arial" w:cs="Arial"/>
          <w:color w:val="000000" w:themeColor="text1"/>
        </w:rPr>
        <w:t> </w:t>
      </w:r>
      <w:r w:rsidR="004A0144" w:rsidRPr="00327458">
        <w:rPr>
          <w:rFonts w:ascii="Arial" w:hAnsi="Arial" w:cs="Arial"/>
          <w:color w:val="000000" w:themeColor="text1"/>
        </w:rPr>
        <w:t>sąsiedzkich</w:t>
      </w:r>
      <w:r w:rsidR="005C4C8B" w:rsidRPr="00327458">
        <w:rPr>
          <w:rFonts w:ascii="Arial" w:hAnsi="Arial" w:cs="Arial"/>
          <w:color w:val="000000" w:themeColor="text1"/>
        </w:rPr>
        <w:t xml:space="preserve">, </w:t>
      </w:r>
      <w:r w:rsidR="004A0144" w:rsidRPr="00327458">
        <w:rPr>
          <w:rFonts w:ascii="Arial" w:hAnsi="Arial" w:cs="Arial"/>
          <w:color w:val="000000" w:themeColor="text1"/>
        </w:rPr>
        <w:t>zapobieganie odizolowaniu od nich</w:t>
      </w:r>
      <w:r w:rsidR="005C4C8B" w:rsidRPr="00327458">
        <w:rPr>
          <w:rFonts w:ascii="Arial" w:hAnsi="Arial" w:cs="Arial"/>
          <w:color w:val="000000" w:themeColor="text1"/>
        </w:rPr>
        <w:t xml:space="preserve"> oraz</w:t>
      </w:r>
      <w:r w:rsidR="0075608D" w:rsidRPr="00327458">
        <w:rPr>
          <w:rFonts w:ascii="Arial" w:hAnsi="Arial" w:cs="Arial"/>
          <w:color w:val="000000" w:themeColor="text1"/>
        </w:rPr>
        <w:t xml:space="preserve"> umożliwienie prowadzenia</w:t>
      </w:r>
      <w:r w:rsidR="005C4C8B" w:rsidRPr="00327458">
        <w:rPr>
          <w:rFonts w:ascii="Arial" w:hAnsi="Arial" w:cs="Arial"/>
          <w:color w:val="000000" w:themeColor="text1"/>
        </w:rPr>
        <w:t xml:space="preserve"> niezależne</w:t>
      </w:r>
      <w:r w:rsidR="0075608D" w:rsidRPr="00327458">
        <w:rPr>
          <w:rFonts w:ascii="Arial" w:hAnsi="Arial" w:cs="Arial"/>
          <w:color w:val="000000" w:themeColor="text1"/>
        </w:rPr>
        <w:t>go</w:t>
      </w:r>
      <w:r w:rsidR="005C4C8B" w:rsidRPr="00327458">
        <w:rPr>
          <w:rFonts w:ascii="Arial" w:hAnsi="Arial" w:cs="Arial"/>
          <w:color w:val="000000" w:themeColor="text1"/>
        </w:rPr>
        <w:t xml:space="preserve"> życi</w:t>
      </w:r>
      <w:r w:rsidR="0075608D" w:rsidRPr="00327458">
        <w:rPr>
          <w:rFonts w:ascii="Arial" w:hAnsi="Arial" w:cs="Arial"/>
          <w:color w:val="000000" w:themeColor="text1"/>
        </w:rPr>
        <w:t>a</w:t>
      </w:r>
      <w:r w:rsidR="005C4C8B" w:rsidRPr="00327458">
        <w:rPr>
          <w:rFonts w:ascii="Arial" w:hAnsi="Arial" w:cs="Arial"/>
          <w:color w:val="000000" w:themeColor="text1"/>
        </w:rPr>
        <w:t xml:space="preserve"> w środowisku lokalnym</w:t>
      </w:r>
      <w:r w:rsidR="004A0144" w:rsidRPr="00327458">
        <w:rPr>
          <w:rStyle w:val="Odwoanieprzypisudolnego"/>
          <w:rFonts w:ascii="Arial" w:hAnsi="Arial" w:cs="Arial"/>
          <w:color w:val="000000" w:themeColor="text1"/>
        </w:rPr>
        <w:footnoteReference w:id="2"/>
      </w:r>
      <w:r w:rsidR="004A0144" w:rsidRPr="00327458">
        <w:rPr>
          <w:rFonts w:ascii="Arial" w:hAnsi="Arial" w:cs="Arial"/>
          <w:color w:val="000000" w:themeColor="text1"/>
        </w:rPr>
        <w:t>.</w:t>
      </w:r>
      <w:r w:rsidR="001D779B" w:rsidRPr="00327458">
        <w:rPr>
          <w:rFonts w:ascii="Arial" w:hAnsi="Arial" w:cs="Arial"/>
          <w:color w:val="000000" w:themeColor="text1"/>
        </w:rPr>
        <w:t xml:space="preserve"> DI stanowi istotne wyzwanie ze względu na</w:t>
      </w:r>
      <w:r w:rsidR="00E51F38" w:rsidRPr="00327458">
        <w:rPr>
          <w:rFonts w:ascii="Arial" w:hAnsi="Arial" w:cs="Arial"/>
          <w:color w:val="000000" w:themeColor="text1"/>
        </w:rPr>
        <w:t> </w:t>
      </w:r>
      <w:r w:rsidR="001D779B" w:rsidRPr="00327458">
        <w:rPr>
          <w:rFonts w:ascii="Arial" w:hAnsi="Arial" w:cs="Arial"/>
          <w:color w:val="000000" w:themeColor="text1"/>
        </w:rPr>
        <w:t>aktualny stan publicznych usług środowiskowych, które charakteryzuje mało intensywny charakter oraz docieranie do niewielkiego odsetka osób niesamodzielnych</w:t>
      </w:r>
      <w:r w:rsidR="001D779B" w:rsidRPr="00327458">
        <w:rPr>
          <w:rStyle w:val="Odwoanieprzypisudolnego"/>
          <w:rFonts w:ascii="Arial" w:hAnsi="Arial" w:cs="Arial"/>
          <w:color w:val="000000" w:themeColor="text1"/>
        </w:rPr>
        <w:footnoteReference w:id="3"/>
      </w:r>
      <w:r w:rsidR="001D779B" w:rsidRPr="00327458">
        <w:rPr>
          <w:rFonts w:ascii="Arial" w:hAnsi="Arial" w:cs="Arial"/>
          <w:color w:val="000000" w:themeColor="text1"/>
        </w:rPr>
        <w:t>.</w:t>
      </w:r>
    </w:p>
    <w:p w:rsidR="00692F65" w:rsidRPr="00327458" w:rsidRDefault="00312C74" w:rsidP="00A6253F">
      <w:pPr>
        <w:spacing w:after="0" w:line="360" w:lineRule="auto"/>
        <w:rPr>
          <w:rFonts w:ascii="Arial" w:hAnsi="Arial" w:cs="Arial"/>
          <w:color w:val="000000" w:themeColor="text1"/>
        </w:rPr>
      </w:pPr>
      <w:r w:rsidRPr="00327458">
        <w:rPr>
          <w:rFonts w:ascii="Arial" w:hAnsi="Arial" w:cs="Arial"/>
          <w:color w:val="000000" w:themeColor="text1"/>
        </w:rPr>
        <w:t>Usługi społeczne, co do zasady adresowane są wszystkim, jednak w sposób szczególny dedykowane są osobom</w:t>
      </w:r>
      <w:r w:rsidR="005F595D" w:rsidRPr="00327458">
        <w:rPr>
          <w:rFonts w:ascii="Arial" w:hAnsi="Arial" w:cs="Arial"/>
          <w:color w:val="000000" w:themeColor="text1"/>
        </w:rPr>
        <w:t>/ grupom</w:t>
      </w:r>
      <w:r w:rsidRPr="00327458">
        <w:rPr>
          <w:rFonts w:ascii="Arial" w:hAnsi="Arial" w:cs="Arial"/>
          <w:color w:val="000000" w:themeColor="text1"/>
        </w:rPr>
        <w:t xml:space="preserve"> </w:t>
      </w:r>
      <w:r w:rsidR="0021607E" w:rsidRPr="00327458">
        <w:rPr>
          <w:rFonts w:ascii="Arial" w:hAnsi="Arial" w:cs="Arial"/>
          <w:color w:val="000000" w:themeColor="text1"/>
        </w:rPr>
        <w:t xml:space="preserve">osób </w:t>
      </w:r>
      <w:r w:rsidRPr="00327458">
        <w:rPr>
          <w:rFonts w:ascii="Arial" w:hAnsi="Arial" w:cs="Arial"/>
          <w:color w:val="000000" w:themeColor="text1"/>
        </w:rPr>
        <w:t>narażonym na doświadczanie wykluczenia społecznego i/lub dyskryminacj</w:t>
      </w:r>
      <w:r w:rsidR="00162AFD" w:rsidRPr="00327458">
        <w:rPr>
          <w:rFonts w:ascii="Arial" w:hAnsi="Arial" w:cs="Arial"/>
          <w:color w:val="000000" w:themeColor="text1"/>
        </w:rPr>
        <w:t>ę</w:t>
      </w:r>
      <w:r w:rsidR="00F270C3" w:rsidRPr="00327458">
        <w:rPr>
          <w:rFonts w:ascii="Arial" w:hAnsi="Arial" w:cs="Arial"/>
          <w:color w:val="000000" w:themeColor="text1"/>
        </w:rPr>
        <w:t>, w</w:t>
      </w:r>
      <w:r w:rsidRPr="00327458">
        <w:rPr>
          <w:rFonts w:ascii="Arial" w:hAnsi="Arial" w:cs="Arial"/>
          <w:color w:val="000000" w:themeColor="text1"/>
        </w:rPr>
        <w:t xml:space="preserve">śród </w:t>
      </w:r>
      <w:r w:rsidR="00F270C3" w:rsidRPr="00327458">
        <w:rPr>
          <w:rFonts w:ascii="Arial" w:hAnsi="Arial" w:cs="Arial"/>
          <w:color w:val="000000" w:themeColor="text1"/>
        </w:rPr>
        <w:t>których</w:t>
      </w:r>
      <w:r w:rsidRPr="00327458">
        <w:rPr>
          <w:rFonts w:ascii="Arial" w:hAnsi="Arial" w:cs="Arial"/>
          <w:color w:val="000000" w:themeColor="text1"/>
        </w:rPr>
        <w:t xml:space="preserve"> wskazano:</w:t>
      </w:r>
      <w:r w:rsidR="00F40D24" w:rsidRPr="00327458">
        <w:rPr>
          <w:rFonts w:ascii="Arial" w:hAnsi="Arial" w:cs="Arial"/>
          <w:color w:val="000000" w:themeColor="text1"/>
        </w:rPr>
        <w:t xml:space="preserve"> (1) </w:t>
      </w:r>
      <w:r w:rsidR="00455B6B" w:rsidRPr="00327458">
        <w:rPr>
          <w:rFonts w:ascii="Arial" w:hAnsi="Arial" w:cs="Arial"/>
          <w:color w:val="000000" w:themeColor="text1"/>
        </w:rPr>
        <w:t>rodzin</w:t>
      </w:r>
      <w:r w:rsidR="00D5474C" w:rsidRPr="00327458">
        <w:rPr>
          <w:rFonts w:ascii="Arial" w:hAnsi="Arial" w:cs="Arial"/>
          <w:color w:val="000000" w:themeColor="text1"/>
        </w:rPr>
        <w:t>ę</w:t>
      </w:r>
      <w:r w:rsidR="00455B6B" w:rsidRPr="00327458">
        <w:rPr>
          <w:rFonts w:ascii="Arial" w:hAnsi="Arial" w:cs="Arial"/>
          <w:color w:val="000000" w:themeColor="text1"/>
        </w:rPr>
        <w:t xml:space="preserve"> – </w:t>
      </w:r>
      <w:r w:rsidR="00F40D24" w:rsidRPr="00327458">
        <w:rPr>
          <w:rFonts w:ascii="Arial" w:hAnsi="Arial" w:cs="Arial"/>
          <w:color w:val="000000" w:themeColor="text1"/>
        </w:rPr>
        <w:t xml:space="preserve">dzieci, w tym dzieci z niepełnosprawnościami, </w:t>
      </w:r>
      <w:r w:rsidR="00F6485D" w:rsidRPr="00327458">
        <w:rPr>
          <w:rFonts w:ascii="Arial" w:hAnsi="Arial" w:cs="Arial"/>
          <w:color w:val="000000" w:themeColor="text1"/>
        </w:rPr>
        <w:t xml:space="preserve">(2) osoby z niepełnosprawnościami, (3) osoby </w:t>
      </w:r>
      <w:r w:rsidR="0021059B" w:rsidRPr="00327458">
        <w:rPr>
          <w:rFonts w:ascii="Arial" w:hAnsi="Arial" w:cs="Arial"/>
          <w:color w:val="000000" w:themeColor="text1"/>
        </w:rPr>
        <w:t xml:space="preserve">z zaburzeniami psychicznymi i </w:t>
      </w:r>
      <w:r w:rsidR="00F6485D" w:rsidRPr="00327458">
        <w:rPr>
          <w:rFonts w:ascii="Arial" w:hAnsi="Arial" w:cs="Arial"/>
          <w:color w:val="000000" w:themeColor="text1"/>
        </w:rPr>
        <w:t>w kryzysie psychicznym, (4) osoby starsze, (5) osoby w</w:t>
      </w:r>
      <w:r w:rsidR="0021059B" w:rsidRPr="00327458">
        <w:rPr>
          <w:rFonts w:ascii="Arial" w:hAnsi="Arial" w:cs="Arial"/>
          <w:color w:val="000000" w:themeColor="text1"/>
        </w:rPr>
        <w:t> </w:t>
      </w:r>
      <w:r w:rsidR="00F6485D" w:rsidRPr="00327458">
        <w:rPr>
          <w:rFonts w:ascii="Arial" w:hAnsi="Arial" w:cs="Arial"/>
          <w:color w:val="000000" w:themeColor="text1"/>
        </w:rPr>
        <w:t>kryzysie bezdomności.</w:t>
      </w:r>
    </w:p>
    <w:p w:rsidR="00335482" w:rsidRPr="00327458" w:rsidRDefault="00335482" w:rsidP="002A54AE">
      <w:pPr>
        <w:spacing w:line="360" w:lineRule="auto"/>
        <w:ind w:firstLine="708"/>
        <w:rPr>
          <w:rFonts w:ascii="Arial" w:hAnsi="Arial" w:cs="Arial"/>
          <w:color w:val="000000" w:themeColor="text1"/>
        </w:rPr>
      </w:pPr>
      <w:r w:rsidRPr="00327458">
        <w:rPr>
          <w:rFonts w:ascii="Arial" w:hAnsi="Arial" w:cs="Arial"/>
          <w:color w:val="000000" w:themeColor="text1"/>
        </w:rPr>
        <w:t xml:space="preserve">Usługi zdrowotne należy rozpatrywać w kontekście </w:t>
      </w:r>
      <w:r w:rsidR="00FD7B08" w:rsidRPr="00327458">
        <w:rPr>
          <w:rFonts w:ascii="Arial" w:hAnsi="Arial" w:cs="Arial"/>
          <w:color w:val="000000" w:themeColor="text1"/>
        </w:rPr>
        <w:t>potencjalnych nierówności zdrowotnych, na które narażone mogą być</w:t>
      </w:r>
      <w:r w:rsidRPr="00327458">
        <w:rPr>
          <w:rFonts w:ascii="Arial" w:hAnsi="Arial" w:cs="Arial"/>
          <w:color w:val="000000" w:themeColor="text1"/>
        </w:rPr>
        <w:t xml:space="preserve"> </w:t>
      </w:r>
      <w:r w:rsidR="00FD7B08" w:rsidRPr="00327458">
        <w:rPr>
          <w:rFonts w:ascii="Arial" w:hAnsi="Arial" w:cs="Arial"/>
          <w:color w:val="000000" w:themeColor="text1"/>
        </w:rPr>
        <w:t>wymienione wyżej grupy osób.</w:t>
      </w:r>
      <w:r w:rsidRPr="00327458">
        <w:rPr>
          <w:rFonts w:ascii="Arial" w:hAnsi="Arial" w:cs="Arial"/>
          <w:color w:val="000000" w:themeColor="text1"/>
        </w:rPr>
        <w:t xml:space="preserve"> Stan zdrowia jest bowiem silnie związany ze statusem społeczno-ekonomicznym. Czynniki takie jak </w:t>
      </w:r>
      <w:r w:rsidR="00FD7B08" w:rsidRPr="00327458">
        <w:rPr>
          <w:rFonts w:ascii="Arial" w:hAnsi="Arial" w:cs="Arial"/>
          <w:color w:val="000000" w:themeColor="text1"/>
        </w:rPr>
        <w:t>wykształcenie, status materialny, stan rodziny, miejsce zamieszkania, umiejętność korzystania oraz dostęp do urządzeń technologicznych, możliwość samodzielnego przemieszczania mogą istotnie wpływać na dostęp do świadczeń zdrowotnych.</w:t>
      </w:r>
    </w:p>
    <w:p w:rsidR="00692F65" w:rsidRPr="00327458" w:rsidRDefault="004F3A6D" w:rsidP="00EC762F">
      <w:pPr>
        <w:pStyle w:val="Nagwek2"/>
        <w:rPr>
          <w:rFonts w:cs="Arial"/>
          <w:color w:val="000000" w:themeColor="text1"/>
        </w:rPr>
      </w:pPr>
      <w:r w:rsidRPr="00327458">
        <w:rPr>
          <w:rFonts w:cs="Arial"/>
          <w:color w:val="000000" w:themeColor="text1"/>
        </w:rPr>
        <w:t>Rodziny – d</w:t>
      </w:r>
      <w:r w:rsidR="00692F65" w:rsidRPr="00327458">
        <w:rPr>
          <w:rFonts w:cs="Arial"/>
          <w:color w:val="000000" w:themeColor="text1"/>
        </w:rPr>
        <w:t>zieci, w tym dzieci z niepełnosprawnościami</w:t>
      </w:r>
    </w:p>
    <w:p w:rsidR="00A61E52" w:rsidRPr="00327458" w:rsidRDefault="0090070E" w:rsidP="00AB6398">
      <w:pPr>
        <w:spacing w:after="0" w:line="360" w:lineRule="auto"/>
        <w:rPr>
          <w:rFonts w:ascii="Arial" w:hAnsi="Arial" w:cs="Arial"/>
          <w:color w:val="000000" w:themeColor="text1"/>
        </w:rPr>
      </w:pPr>
      <w:r w:rsidRPr="00327458">
        <w:rPr>
          <w:rFonts w:ascii="Arial" w:hAnsi="Arial" w:cs="Arial"/>
          <w:color w:val="000000" w:themeColor="text1"/>
        </w:rPr>
        <w:t xml:space="preserve">Najliczniejszą grupę </w:t>
      </w:r>
      <w:r w:rsidR="00A95A6D" w:rsidRPr="00327458">
        <w:rPr>
          <w:rFonts w:ascii="Arial" w:hAnsi="Arial" w:cs="Arial"/>
          <w:color w:val="000000" w:themeColor="text1"/>
        </w:rPr>
        <w:t>rodzin korzystających z pomocy społecznej stanowią te, które posiadają 1-3 dzieci – w 2021 r. było ich ponad 13 tysięcy</w:t>
      </w:r>
      <w:r w:rsidR="009C75AE" w:rsidRPr="00327458">
        <w:rPr>
          <w:rFonts w:ascii="Arial" w:hAnsi="Arial" w:cs="Arial"/>
          <w:color w:val="000000" w:themeColor="text1"/>
        </w:rPr>
        <w:t>, choć i</w:t>
      </w:r>
      <w:r w:rsidR="004C3114" w:rsidRPr="00327458">
        <w:rPr>
          <w:rFonts w:ascii="Arial" w:hAnsi="Arial" w:cs="Arial"/>
          <w:color w:val="000000" w:themeColor="text1"/>
        </w:rPr>
        <w:t xml:space="preserve">ch </w:t>
      </w:r>
      <w:r w:rsidR="00256753" w:rsidRPr="00327458">
        <w:rPr>
          <w:rFonts w:ascii="Arial" w:hAnsi="Arial" w:cs="Arial"/>
          <w:color w:val="000000" w:themeColor="text1"/>
        </w:rPr>
        <w:t>liczba</w:t>
      </w:r>
      <w:r w:rsidR="00C87AF7" w:rsidRPr="00327458">
        <w:rPr>
          <w:rFonts w:ascii="Arial" w:hAnsi="Arial" w:cs="Arial"/>
          <w:color w:val="000000" w:themeColor="text1"/>
        </w:rPr>
        <w:t xml:space="preserve"> i </w:t>
      </w:r>
      <w:r w:rsidR="00256753" w:rsidRPr="00327458">
        <w:rPr>
          <w:rFonts w:ascii="Arial" w:hAnsi="Arial" w:cs="Arial"/>
          <w:color w:val="000000" w:themeColor="text1"/>
        </w:rPr>
        <w:t>odsetek</w:t>
      </w:r>
      <w:r w:rsidR="004C3114" w:rsidRPr="00327458">
        <w:rPr>
          <w:rFonts w:ascii="Arial" w:hAnsi="Arial" w:cs="Arial"/>
          <w:color w:val="000000" w:themeColor="text1"/>
        </w:rPr>
        <w:t xml:space="preserve"> </w:t>
      </w:r>
      <w:r w:rsidR="009C75AE" w:rsidRPr="00327458">
        <w:rPr>
          <w:rFonts w:ascii="Arial" w:hAnsi="Arial" w:cs="Arial"/>
          <w:color w:val="000000" w:themeColor="text1"/>
        </w:rPr>
        <w:t>w ostatnich latach</w:t>
      </w:r>
      <w:r w:rsidR="004C3114" w:rsidRPr="00327458">
        <w:rPr>
          <w:rFonts w:ascii="Arial" w:hAnsi="Arial" w:cs="Arial"/>
          <w:color w:val="000000" w:themeColor="text1"/>
        </w:rPr>
        <w:t xml:space="preserve"> </w:t>
      </w:r>
      <w:r w:rsidR="004C3114" w:rsidRPr="00327458">
        <w:rPr>
          <w:rFonts w:ascii="Arial" w:hAnsi="Arial" w:cs="Arial"/>
          <w:color w:val="000000" w:themeColor="text1"/>
        </w:rPr>
        <w:lastRenderedPageBreak/>
        <w:t>zmniejsza się</w:t>
      </w:r>
      <w:r w:rsidR="005361DF" w:rsidRPr="00327458">
        <w:rPr>
          <w:rStyle w:val="Odwoanieprzypisudolnego"/>
          <w:rFonts w:ascii="Arial" w:hAnsi="Arial" w:cs="Arial"/>
          <w:color w:val="000000" w:themeColor="text1"/>
        </w:rPr>
        <w:footnoteReference w:id="4"/>
      </w:r>
      <w:r w:rsidR="004C3114" w:rsidRPr="00327458">
        <w:rPr>
          <w:rFonts w:ascii="Arial" w:hAnsi="Arial" w:cs="Arial"/>
          <w:color w:val="000000" w:themeColor="text1"/>
        </w:rPr>
        <w:t>.</w:t>
      </w:r>
      <w:r w:rsidR="00507DA8" w:rsidRPr="00327458">
        <w:rPr>
          <w:rFonts w:ascii="Arial" w:hAnsi="Arial" w:cs="Arial"/>
          <w:color w:val="000000" w:themeColor="text1"/>
        </w:rPr>
        <w:t xml:space="preserve"> </w:t>
      </w:r>
      <w:r w:rsidR="00685D4B" w:rsidRPr="00327458">
        <w:rPr>
          <w:rFonts w:ascii="Arial" w:hAnsi="Arial" w:cs="Arial"/>
          <w:color w:val="000000" w:themeColor="text1"/>
        </w:rPr>
        <w:t>Rodziny doświadczające trudności opiekuńczo-wychowawczych mogą korzystać ze wsparcia asystentów</w:t>
      </w:r>
      <w:r w:rsidR="00DF26E6" w:rsidRPr="00327458">
        <w:rPr>
          <w:rFonts w:ascii="Arial" w:hAnsi="Arial" w:cs="Arial"/>
          <w:color w:val="000000" w:themeColor="text1"/>
        </w:rPr>
        <w:t>(ek)</w:t>
      </w:r>
      <w:r w:rsidR="00685D4B" w:rsidRPr="00327458">
        <w:rPr>
          <w:rFonts w:ascii="Arial" w:hAnsi="Arial" w:cs="Arial"/>
          <w:color w:val="000000" w:themeColor="text1"/>
        </w:rPr>
        <w:t xml:space="preserve"> rodziny – liczba tych specjalistów</w:t>
      </w:r>
      <w:r w:rsidR="00DF26E6" w:rsidRPr="00327458">
        <w:rPr>
          <w:rFonts w:ascii="Arial" w:hAnsi="Arial" w:cs="Arial"/>
          <w:color w:val="000000" w:themeColor="text1"/>
        </w:rPr>
        <w:t>(ek)</w:t>
      </w:r>
      <w:r w:rsidR="00685D4B" w:rsidRPr="00327458">
        <w:rPr>
          <w:rFonts w:ascii="Arial" w:hAnsi="Arial" w:cs="Arial"/>
          <w:color w:val="000000" w:themeColor="text1"/>
        </w:rPr>
        <w:t xml:space="preserve"> w 2021 r. zmniejszyła się o 6</w:t>
      </w:r>
      <w:r w:rsidR="00E00BF4" w:rsidRPr="00327458">
        <w:rPr>
          <w:rFonts w:ascii="Arial" w:hAnsi="Arial" w:cs="Arial"/>
          <w:color w:val="000000" w:themeColor="text1"/>
        </w:rPr>
        <w:t xml:space="preserve"> (2,6%)</w:t>
      </w:r>
      <w:r w:rsidR="00685D4B" w:rsidRPr="00327458">
        <w:rPr>
          <w:rFonts w:ascii="Arial" w:hAnsi="Arial" w:cs="Arial"/>
          <w:color w:val="000000" w:themeColor="text1"/>
        </w:rPr>
        <w:t xml:space="preserve"> w stosunku do 2020 r.</w:t>
      </w:r>
      <w:r w:rsidR="008A5A3F" w:rsidRPr="00327458">
        <w:rPr>
          <w:rStyle w:val="Odwoanieprzypisudolnego"/>
          <w:rFonts w:ascii="Arial" w:hAnsi="Arial" w:cs="Arial"/>
          <w:color w:val="000000" w:themeColor="text1"/>
        </w:rPr>
        <w:footnoteReference w:id="5"/>
      </w:r>
      <w:r w:rsidR="00D164BC" w:rsidRPr="00327458">
        <w:rPr>
          <w:rFonts w:ascii="Arial" w:hAnsi="Arial" w:cs="Arial"/>
          <w:color w:val="000000" w:themeColor="text1"/>
        </w:rPr>
        <w:t xml:space="preserve">, zaś liczba rodzin objętych wsparciem asystenckim </w:t>
      </w:r>
      <w:r w:rsidR="009F2AE7" w:rsidRPr="00327458">
        <w:rPr>
          <w:rFonts w:ascii="Arial" w:hAnsi="Arial" w:cs="Arial"/>
          <w:color w:val="000000" w:themeColor="text1"/>
        </w:rPr>
        <w:t>w tożsamym okresie wzrosła do 2,6 tys. (+</w:t>
      </w:r>
      <w:r w:rsidR="00BD65B8" w:rsidRPr="00327458">
        <w:rPr>
          <w:rFonts w:ascii="Arial" w:hAnsi="Arial" w:cs="Arial"/>
          <w:color w:val="000000" w:themeColor="text1"/>
        </w:rPr>
        <w:t>71; 2,8% r/r</w:t>
      </w:r>
      <w:r w:rsidR="009F2AE7" w:rsidRPr="00327458">
        <w:rPr>
          <w:rFonts w:ascii="Arial" w:hAnsi="Arial" w:cs="Arial"/>
          <w:color w:val="000000" w:themeColor="text1"/>
        </w:rPr>
        <w:t>)</w:t>
      </w:r>
      <w:r w:rsidR="00117707" w:rsidRPr="00327458">
        <w:rPr>
          <w:rStyle w:val="Odwoanieprzypisudolnego"/>
          <w:rFonts w:ascii="Arial" w:hAnsi="Arial" w:cs="Arial"/>
          <w:color w:val="000000" w:themeColor="text1"/>
        </w:rPr>
        <w:footnoteReference w:id="6"/>
      </w:r>
      <w:r w:rsidR="009F2AE7" w:rsidRPr="00327458">
        <w:rPr>
          <w:rFonts w:ascii="Arial" w:hAnsi="Arial" w:cs="Arial"/>
          <w:color w:val="000000" w:themeColor="text1"/>
        </w:rPr>
        <w:t>.</w:t>
      </w:r>
      <w:r w:rsidR="00DE7AEF" w:rsidRPr="00327458">
        <w:rPr>
          <w:rFonts w:ascii="Arial" w:hAnsi="Arial" w:cs="Arial"/>
          <w:color w:val="000000" w:themeColor="text1"/>
        </w:rPr>
        <w:t xml:space="preserve"> </w:t>
      </w:r>
      <w:r w:rsidR="00F05A87" w:rsidRPr="00327458">
        <w:rPr>
          <w:rFonts w:ascii="Arial" w:hAnsi="Arial" w:cs="Arial"/>
          <w:color w:val="000000" w:themeColor="text1"/>
        </w:rPr>
        <w:t xml:space="preserve">Rodziny te mogą także korzystać </w:t>
      </w:r>
      <w:r w:rsidR="00DE7AEF" w:rsidRPr="00327458">
        <w:rPr>
          <w:rFonts w:ascii="Arial" w:hAnsi="Arial" w:cs="Arial"/>
          <w:color w:val="000000" w:themeColor="text1"/>
        </w:rPr>
        <w:t>z</w:t>
      </w:r>
      <w:r w:rsidR="009E224D" w:rsidRPr="00327458">
        <w:rPr>
          <w:rFonts w:ascii="Arial" w:hAnsi="Arial" w:cs="Arial"/>
          <w:color w:val="000000" w:themeColor="text1"/>
        </w:rPr>
        <w:t>e wsparcia</w:t>
      </w:r>
      <w:r w:rsidR="00DE7AEF" w:rsidRPr="00327458">
        <w:rPr>
          <w:rFonts w:ascii="Arial" w:hAnsi="Arial" w:cs="Arial"/>
          <w:color w:val="000000" w:themeColor="text1"/>
        </w:rPr>
        <w:t xml:space="preserve"> rodzin wspierających</w:t>
      </w:r>
      <w:r w:rsidR="00783F4F" w:rsidRPr="00327458">
        <w:rPr>
          <w:rFonts w:ascii="Arial" w:hAnsi="Arial" w:cs="Arial"/>
          <w:color w:val="000000" w:themeColor="text1"/>
        </w:rPr>
        <w:t xml:space="preserve">, </w:t>
      </w:r>
      <w:r w:rsidR="00064625" w:rsidRPr="00327458">
        <w:rPr>
          <w:rFonts w:ascii="Arial" w:hAnsi="Arial" w:cs="Arial"/>
          <w:color w:val="000000" w:themeColor="text1"/>
        </w:rPr>
        <w:t>tworzon</w:t>
      </w:r>
      <w:r w:rsidR="009E224D" w:rsidRPr="00327458">
        <w:rPr>
          <w:rFonts w:ascii="Arial" w:hAnsi="Arial" w:cs="Arial"/>
          <w:color w:val="000000" w:themeColor="text1"/>
        </w:rPr>
        <w:t>ych</w:t>
      </w:r>
      <w:r w:rsidR="00064625" w:rsidRPr="00327458">
        <w:rPr>
          <w:rFonts w:ascii="Arial" w:hAnsi="Arial" w:cs="Arial"/>
          <w:color w:val="000000" w:themeColor="text1"/>
        </w:rPr>
        <w:t xml:space="preserve"> przez osoby</w:t>
      </w:r>
      <w:r w:rsidR="00783F4F" w:rsidRPr="00327458">
        <w:rPr>
          <w:rFonts w:ascii="Arial" w:hAnsi="Arial" w:cs="Arial"/>
          <w:color w:val="000000" w:themeColor="text1"/>
        </w:rPr>
        <w:t xml:space="preserve"> z najbliższego otoczenia dziecka – w 2021 r. funkcjonowało 12 takich rodzin, tj</w:t>
      </w:r>
      <w:r w:rsidR="00264565" w:rsidRPr="00327458">
        <w:rPr>
          <w:rFonts w:ascii="Arial" w:hAnsi="Arial" w:cs="Arial"/>
          <w:color w:val="000000" w:themeColor="text1"/>
        </w:rPr>
        <w:t>.</w:t>
      </w:r>
      <w:r w:rsidR="00783F4F" w:rsidRPr="00327458">
        <w:rPr>
          <w:rFonts w:ascii="Arial" w:hAnsi="Arial" w:cs="Arial"/>
          <w:color w:val="000000" w:themeColor="text1"/>
        </w:rPr>
        <w:t>, o 2 mniej niż w 2020 r.</w:t>
      </w:r>
      <w:r w:rsidR="00264565" w:rsidRPr="00327458">
        <w:rPr>
          <w:rStyle w:val="Odwoanieprzypisudolnego"/>
          <w:rFonts w:ascii="Arial" w:hAnsi="Arial" w:cs="Arial"/>
          <w:color w:val="000000" w:themeColor="text1"/>
        </w:rPr>
        <w:t xml:space="preserve"> </w:t>
      </w:r>
      <w:r w:rsidR="00264565" w:rsidRPr="00327458">
        <w:rPr>
          <w:rStyle w:val="Odwoanieprzypisudolnego"/>
          <w:rFonts w:ascii="Arial" w:hAnsi="Arial" w:cs="Arial"/>
          <w:color w:val="000000" w:themeColor="text1"/>
        </w:rPr>
        <w:footnoteReference w:id="7"/>
      </w:r>
      <w:r w:rsidR="00264565" w:rsidRPr="00327458">
        <w:rPr>
          <w:rFonts w:ascii="Arial" w:hAnsi="Arial" w:cs="Arial"/>
          <w:color w:val="000000" w:themeColor="text1"/>
        </w:rPr>
        <w:t>.</w:t>
      </w:r>
      <w:r w:rsidR="00A61E52" w:rsidRPr="00327458">
        <w:rPr>
          <w:rFonts w:ascii="Arial" w:hAnsi="Arial" w:cs="Arial"/>
          <w:color w:val="000000" w:themeColor="text1"/>
        </w:rPr>
        <w:t xml:space="preserve"> Ponadto dzieci i młodzież pochodząca z rodzin doświadczających wspomnianych trudności mogą korzystać ze wsparcia świadczonego przez placówki wsparcia dziennego. W 2021 r. funkcjonowało 100 takich placówek – o 15 (17,</w:t>
      </w:r>
      <w:r w:rsidR="00B25C29" w:rsidRPr="00327458">
        <w:rPr>
          <w:rFonts w:ascii="Arial" w:hAnsi="Arial" w:cs="Arial"/>
          <w:color w:val="000000" w:themeColor="text1"/>
        </w:rPr>
        <w:t>6</w:t>
      </w:r>
      <w:r w:rsidR="00A61E52" w:rsidRPr="00327458">
        <w:rPr>
          <w:rFonts w:ascii="Arial" w:hAnsi="Arial" w:cs="Arial"/>
          <w:color w:val="000000" w:themeColor="text1"/>
        </w:rPr>
        <w:t>%) więcej niż rok wcześniej. Biorąc pod uwagę typ, w tożsamym okresie odnotowano wzrost</w:t>
      </w:r>
      <w:r w:rsidR="00CE7CD7" w:rsidRPr="00327458">
        <w:rPr>
          <w:rFonts w:ascii="Arial" w:hAnsi="Arial" w:cs="Arial"/>
          <w:color w:val="000000" w:themeColor="text1"/>
        </w:rPr>
        <w:t xml:space="preserve"> liczby</w:t>
      </w:r>
      <w:r w:rsidR="00A61E52" w:rsidRPr="00327458">
        <w:rPr>
          <w:rFonts w:ascii="Arial" w:hAnsi="Arial" w:cs="Arial"/>
          <w:color w:val="000000" w:themeColor="text1"/>
        </w:rPr>
        <w:t xml:space="preserve"> placówek wsparcia dziennego w</w:t>
      </w:r>
      <w:r w:rsidR="00E51F38" w:rsidRPr="00327458">
        <w:rPr>
          <w:rFonts w:ascii="Arial" w:hAnsi="Arial" w:cs="Arial"/>
          <w:color w:val="000000" w:themeColor="text1"/>
        </w:rPr>
        <w:t> </w:t>
      </w:r>
      <w:r w:rsidR="00A61E52" w:rsidRPr="00327458">
        <w:rPr>
          <w:rFonts w:ascii="Arial" w:hAnsi="Arial" w:cs="Arial"/>
          <w:color w:val="000000" w:themeColor="text1"/>
        </w:rPr>
        <w:t xml:space="preserve">formie: opiekuńczej </w:t>
      </w:r>
      <w:r w:rsidR="00AD7CD5" w:rsidRPr="00327458">
        <w:rPr>
          <w:rFonts w:ascii="Arial" w:hAnsi="Arial" w:cs="Arial"/>
          <w:color w:val="000000" w:themeColor="text1"/>
        </w:rPr>
        <w:t>(+9; 19,6%)</w:t>
      </w:r>
      <w:r w:rsidR="00A61E52" w:rsidRPr="00327458">
        <w:rPr>
          <w:rFonts w:ascii="Arial" w:hAnsi="Arial" w:cs="Arial"/>
          <w:color w:val="000000" w:themeColor="text1"/>
        </w:rPr>
        <w:t>, specjalistycznej</w:t>
      </w:r>
      <w:r w:rsidR="00AD7CD5" w:rsidRPr="00327458">
        <w:rPr>
          <w:rFonts w:ascii="Arial" w:hAnsi="Arial" w:cs="Arial"/>
          <w:color w:val="000000" w:themeColor="text1"/>
        </w:rPr>
        <w:t xml:space="preserve"> (+5; 26,3%)</w:t>
      </w:r>
      <w:r w:rsidR="00A61E52" w:rsidRPr="00327458">
        <w:rPr>
          <w:rFonts w:ascii="Arial" w:hAnsi="Arial" w:cs="Arial"/>
          <w:color w:val="000000" w:themeColor="text1"/>
        </w:rPr>
        <w:t>,</w:t>
      </w:r>
      <w:r w:rsidR="00AD7CD5" w:rsidRPr="00327458">
        <w:rPr>
          <w:rFonts w:ascii="Arial" w:hAnsi="Arial" w:cs="Arial"/>
          <w:color w:val="000000" w:themeColor="text1"/>
        </w:rPr>
        <w:t xml:space="preserve"> pracy podwórkowej prowadzonej przez wychowawcę (+11; 34,4%).</w:t>
      </w:r>
      <w:r w:rsidR="00A46653" w:rsidRPr="00327458">
        <w:rPr>
          <w:rFonts w:ascii="Arial" w:hAnsi="Arial" w:cs="Arial"/>
          <w:color w:val="000000" w:themeColor="text1"/>
        </w:rPr>
        <w:t xml:space="preserve"> Placówki te dysponowały w 2021 r. 2,6 tys. miejsc – o 0,3 tys. (14,1%) więcej niż w roku poprzedzającym</w:t>
      </w:r>
      <w:r w:rsidR="00081DB5" w:rsidRPr="00327458">
        <w:rPr>
          <w:rStyle w:val="Odwoanieprzypisudolnego"/>
          <w:rFonts w:ascii="Arial" w:hAnsi="Arial" w:cs="Arial"/>
          <w:color w:val="000000" w:themeColor="text1"/>
        </w:rPr>
        <w:footnoteReference w:id="8"/>
      </w:r>
      <w:r w:rsidR="00A46653" w:rsidRPr="00327458">
        <w:rPr>
          <w:rFonts w:ascii="Arial" w:hAnsi="Arial" w:cs="Arial"/>
          <w:color w:val="000000" w:themeColor="text1"/>
        </w:rPr>
        <w:t>.</w:t>
      </w:r>
    </w:p>
    <w:p w:rsidR="00A870B0" w:rsidRPr="00327458" w:rsidRDefault="00A720DA" w:rsidP="002A54AE">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W przypadku instytucjonalnego wsparcia dzieci, w 2021 r. </w:t>
      </w:r>
      <w:r w:rsidR="007D2BFB" w:rsidRPr="00327458">
        <w:rPr>
          <w:rFonts w:ascii="Arial" w:hAnsi="Arial" w:cs="Arial"/>
          <w:color w:val="000000" w:themeColor="text1"/>
        </w:rPr>
        <w:t>zwiększyła się liczba placówek opiekuńczo-wychowawczych (+2 v</w:t>
      </w:r>
      <w:r w:rsidR="00064625" w:rsidRPr="00327458">
        <w:rPr>
          <w:rFonts w:ascii="Arial" w:hAnsi="Arial" w:cs="Arial"/>
          <w:color w:val="000000" w:themeColor="text1"/>
        </w:rPr>
        <w:t>s</w:t>
      </w:r>
      <w:r w:rsidR="007D2BFB" w:rsidRPr="00327458">
        <w:rPr>
          <w:rFonts w:ascii="Arial" w:hAnsi="Arial" w:cs="Arial"/>
          <w:color w:val="000000" w:themeColor="text1"/>
        </w:rPr>
        <w:t xml:space="preserve">. 2020 r.), a liczba przebywających w nich dzieci o </w:t>
      </w:r>
      <w:r w:rsidR="002C1857" w:rsidRPr="00327458">
        <w:rPr>
          <w:rFonts w:ascii="Arial" w:hAnsi="Arial" w:cs="Arial"/>
          <w:color w:val="000000" w:themeColor="text1"/>
        </w:rPr>
        <w:t>4</w:t>
      </w:r>
      <w:r w:rsidR="007D2BFB" w:rsidRPr="00327458">
        <w:rPr>
          <w:rFonts w:ascii="Arial" w:hAnsi="Arial" w:cs="Arial"/>
          <w:color w:val="000000" w:themeColor="text1"/>
        </w:rPr>
        <w:t>3</w:t>
      </w:r>
      <w:r w:rsidR="007D2BFB" w:rsidRPr="00327458">
        <w:rPr>
          <w:rStyle w:val="Odwoanieprzypisudolnego"/>
          <w:rFonts w:ascii="Arial" w:hAnsi="Arial" w:cs="Arial"/>
          <w:color w:val="000000" w:themeColor="text1"/>
        </w:rPr>
        <w:footnoteReference w:id="9"/>
      </w:r>
      <w:r w:rsidR="007D2BFB" w:rsidRPr="00327458">
        <w:rPr>
          <w:rFonts w:ascii="Arial" w:hAnsi="Arial" w:cs="Arial"/>
          <w:color w:val="000000" w:themeColor="text1"/>
        </w:rPr>
        <w:t>.</w:t>
      </w:r>
      <w:r w:rsidR="00587A7E" w:rsidRPr="00327458">
        <w:rPr>
          <w:rFonts w:ascii="Arial" w:hAnsi="Arial" w:cs="Arial"/>
          <w:color w:val="000000" w:themeColor="text1"/>
        </w:rPr>
        <w:t xml:space="preserve"> </w:t>
      </w:r>
      <w:r w:rsidR="00175434" w:rsidRPr="00327458">
        <w:rPr>
          <w:rFonts w:ascii="Arial" w:hAnsi="Arial" w:cs="Arial"/>
          <w:color w:val="000000" w:themeColor="text1"/>
        </w:rPr>
        <w:t>Analizując zmiany na poziomie typów placówek opiekuńczo-wychowawczych, należy wskazać, że w analizowanym okresie zwiększyła się liczba placówek typu socjalizacyjnego (+2; 3,0% r/r) osiągając wartość 69. W przypadku pozostałych placówek ich liczba nie zmieniła się; placówek typu: interwencyjnego było 16, specjalistyczno-terapeutycznego 1, rodzinnego 8 oraz 1 regionalna placówka opiekuńczo-terapeutyczna.</w:t>
      </w:r>
      <w:r w:rsidR="00AB0D2B" w:rsidRPr="00327458">
        <w:rPr>
          <w:rFonts w:ascii="Arial" w:hAnsi="Arial" w:cs="Arial"/>
          <w:color w:val="000000" w:themeColor="text1"/>
        </w:rPr>
        <w:t xml:space="preserve"> W</w:t>
      </w:r>
      <w:r w:rsidR="00E51F38" w:rsidRPr="00327458">
        <w:rPr>
          <w:rFonts w:ascii="Arial" w:hAnsi="Arial" w:cs="Arial"/>
          <w:color w:val="000000" w:themeColor="text1"/>
        </w:rPr>
        <w:t> </w:t>
      </w:r>
      <w:r w:rsidR="00AB0D2B" w:rsidRPr="00327458">
        <w:rPr>
          <w:rFonts w:ascii="Arial" w:hAnsi="Arial" w:cs="Arial"/>
          <w:color w:val="000000" w:themeColor="text1"/>
        </w:rPr>
        <w:t xml:space="preserve">przypadku placówek typu interwencyjnego, specjalistyczno-terapeutycznego </w:t>
      </w:r>
      <w:r w:rsidR="00D1039C" w:rsidRPr="00327458">
        <w:rPr>
          <w:rFonts w:ascii="Arial" w:hAnsi="Arial" w:cs="Arial"/>
          <w:color w:val="000000" w:themeColor="text1"/>
        </w:rPr>
        <w:t xml:space="preserve">oraz regionalnej placówki opiekuńczo-terapeutycznej </w:t>
      </w:r>
      <w:r w:rsidR="00AB0D2B" w:rsidRPr="00327458">
        <w:rPr>
          <w:rFonts w:ascii="Arial" w:hAnsi="Arial" w:cs="Arial"/>
          <w:color w:val="000000" w:themeColor="text1"/>
        </w:rPr>
        <w:t>liczba miejsc nie zmieniła się (kolejno: 83, 9, 45).</w:t>
      </w:r>
      <w:r w:rsidR="007232C8" w:rsidRPr="00327458">
        <w:rPr>
          <w:rFonts w:ascii="Arial" w:hAnsi="Arial" w:cs="Arial"/>
          <w:color w:val="000000" w:themeColor="text1"/>
        </w:rPr>
        <w:t xml:space="preserve"> Przybyło natomiast 1 miejsce </w:t>
      </w:r>
      <w:r w:rsidR="00F265D1" w:rsidRPr="00327458">
        <w:rPr>
          <w:rFonts w:ascii="Arial" w:hAnsi="Arial" w:cs="Arial"/>
          <w:color w:val="000000" w:themeColor="text1"/>
        </w:rPr>
        <w:t xml:space="preserve">(+1,6%) </w:t>
      </w:r>
      <w:r w:rsidR="007232C8" w:rsidRPr="00327458">
        <w:rPr>
          <w:rFonts w:ascii="Arial" w:hAnsi="Arial" w:cs="Arial"/>
          <w:color w:val="000000" w:themeColor="text1"/>
        </w:rPr>
        <w:t>w placówce typu rodzinnego, a ubyły 44 miejsca</w:t>
      </w:r>
      <w:r w:rsidR="00F265D1" w:rsidRPr="00327458">
        <w:rPr>
          <w:rFonts w:ascii="Arial" w:hAnsi="Arial" w:cs="Arial"/>
          <w:color w:val="000000" w:themeColor="text1"/>
        </w:rPr>
        <w:t xml:space="preserve"> (-4,7%)</w:t>
      </w:r>
      <w:r w:rsidR="007232C8" w:rsidRPr="00327458">
        <w:rPr>
          <w:rFonts w:ascii="Arial" w:hAnsi="Arial" w:cs="Arial"/>
          <w:color w:val="000000" w:themeColor="text1"/>
        </w:rPr>
        <w:t xml:space="preserve"> w placówkach typu socjalizacyjnego</w:t>
      </w:r>
      <w:r w:rsidR="007232C8" w:rsidRPr="00327458">
        <w:rPr>
          <w:rStyle w:val="Odwoanieprzypisudolnego"/>
          <w:rFonts w:ascii="Arial" w:hAnsi="Arial" w:cs="Arial"/>
          <w:color w:val="000000" w:themeColor="text1"/>
        </w:rPr>
        <w:footnoteReference w:id="10"/>
      </w:r>
      <w:r w:rsidR="007232C8" w:rsidRPr="00327458">
        <w:rPr>
          <w:rFonts w:ascii="Arial" w:hAnsi="Arial" w:cs="Arial"/>
          <w:color w:val="000000" w:themeColor="text1"/>
        </w:rPr>
        <w:t>.</w:t>
      </w:r>
    </w:p>
    <w:p w:rsidR="004D2F2B" w:rsidRPr="00327458" w:rsidRDefault="00646937" w:rsidP="00D57994">
      <w:pPr>
        <w:pStyle w:val="Default"/>
        <w:spacing w:line="360" w:lineRule="auto"/>
        <w:ind w:firstLine="708"/>
        <w:rPr>
          <w:rFonts w:ascii="Arial" w:hAnsi="Arial" w:cs="Arial"/>
          <w:color w:val="000000" w:themeColor="text1"/>
          <w:sz w:val="22"/>
          <w:szCs w:val="22"/>
        </w:rPr>
      </w:pPr>
      <w:r w:rsidRPr="00327458">
        <w:rPr>
          <w:rFonts w:ascii="Arial" w:hAnsi="Arial" w:cs="Arial"/>
          <w:color w:val="000000" w:themeColor="text1"/>
          <w:sz w:val="22"/>
          <w:szCs w:val="22"/>
        </w:rPr>
        <w:t>Wzrosła</w:t>
      </w:r>
      <w:r w:rsidR="00D41787" w:rsidRPr="00327458">
        <w:rPr>
          <w:rFonts w:ascii="Arial" w:hAnsi="Arial" w:cs="Arial"/>
          <w:color w:val="000000" w:themeColor="text1"/>
          <w:sz w:val="22"/>
          <w:szCs w:val="22"/>
        </w:rPr>
        <w:t xml:space="preserve"> </w:t>
      </w:r>
      <w:r w:rsidR="00304DA3" w:rsidRPr="00327458">
        <w:rPr>
          <w:rFonts w:ascii="Arial" w:hAnsi="Arial" w:cs="Arial"/>
          <w:color w:val="000000" w:themeColor="text1"/>
          <w:sz w:val="22"/>
          <w:szCs w:val="22"/>
        </w:rPr>
        <w:t>także liczba dzieci przebywających w rodzinnej i instytucjonalnej pieczy zastępczej – w 2021 r. w stosunku do 2020 r. o odpowiednio o 2,0% (81 dzieci) oraz o 1,3% (13 dzieci)</w:t>
      </w:r>
      <w:r w:rsidR="00B86F65" w:rsidRPr="00327458">
        <w:rPr>
          <w:rFonts w:ascii="Arial" w:hAnsi="Arial" w:cs="Arial"/>
          <w:color w:val="000000" w:themeColor="text1"/>
          <w:sz w:val="22"/>
          <w:szCs w:val="22"/>
        </w:rPr>
        <w:t>. W 2021 roku w rodzinnej pieczy zastępczej przebywało 4226 dzieci, w tym: 1875 dzieci w rodzinach zastępczych spokrewnionych, 929 dzieci w rodzinach zastępczych niezawodowych oraz 596 dzieci w rodzinach zastępczych zawodowych, w tym odpowiednio: 104 – w rodzinach pełniących funkcję pogotowia rodzinnego, 71 – w rodzinach specjalistycznych i 826 w rodzinnych domach dziecka.</w:t>
      </w:r>
      <w:r w:rsidR="00D57994" w:rsidRPr="00327458">
        <w:rPr>
          <w:rFonts w:ascii="Arial" w:hAnsi="Arial" w:cs="Arial"/>
          <w:color w:val="000000" w:themeColor="text1"/>
          <w:sz w:val="22"/>
          <w:szCs w:val="22"/>
        </w:rPr>
        <w:t xml:space="preserve"> Natomiast w instytucjonalnej pieczy </w:t>
      </w:r>
      <w:r w:rsidR="00D57994" w:rsidRPr="00327458">
        <w:rPr>
          <w:rFonts w:ascii="Arial" w:hAnsi="Arial" w:cs="Arial"/>
          <w:color w:val="000000" w:themeColor="text1"/>
          <w:sz w:val="22"/>
          <w:szCs w:val="22"/>
        </w:rPr>
        <w:lastRenderedPageBreak/>
        <w:t>zastępczej w 2021 roku przebywało łącznie 974 dzieci, w tym</w:t>
      </w:r>
      <w:r w:rsidR="00E661DC">
        <w:rPr>
          <w:rFonts w:ascii="Arial" w:hAnsi="Arial" w:cs="Arial"/>
          <w:color w:val="000000" w:themeColor="text1"/>
          <w:sz w:val="22"/>
          <w:szCs w:val="22"/>
        </w:rPr>
        <w:t>:</w:t>
      </w:r>
      <w:r w:rsidR="00D57994" w:rsidRPr="00327458">
        <w:rPr>
          <w:rFonts w:ascii="Arial" w:hAnsi="Arial" w:cs="Arial"/>
          <w:color w:val="000000" w:themeColor="text1"/>
          <w:sz w:val="22"/>
          <w:szCs w:val="22"/>
        </w:rPr>
        <w:t xml:space="preserve"> w placówkach typu: socjalizacyjnego </w:t>
      </w:r>
      <w:r w:rsidR="00E661DC" w:rsidRPr="00327458">
        <w:rPr>
          <w:rFonts w:ascii="Arial" w:hAnsi="Arial" w:cs="Arial"/>
          <w:color w:val="000000" w:themeColor="text1"/>
          <w:sz w:val="22"/>
          <w:szCs w:val="22"/>
        </w:rPr>
        <w:t>–</w:t>
      </w:r>
      <w:r w:rsidR="00D57994" w:rsidRPr="00327458">
        <w:rPr>
          <w:rFonts w:ascii="Arial" w:hAnsi="Arial" w:cs="Arial"/>
          <w:color w:val="000000" w:themeColor="text1"/>
          <w:sz w:val="22"/>
          <w:szCs w:val="22"/>
        </w:rPr>
        <w:t xml:space="preserve"> 841 dzieci, interwencyjnego </w:t>
      </w:r>
      <w:r w:rsidR="00E661DC" w:rsidRPr="00327458">
        <w:rPr>
          <w:rFonts w:ascii="Arial" w:hAnsi="Arial" w:cs="Arial"/>
          <w:color w:val="000000" w:themeColor="text1"/>
          <w:sz w:val="22"/>
          <w:szCs w:val="22"/>
        </w:rPr>
        <w:t>–</w:t>
      </w:r>
      <w:r w:rsidR="00D57994" w:rsidRPr="00327458">
        <w:rPr>
          <w:rFonts w:ascii="Arial" w:hAnsi="Arial" w:cs="Arial"/>
          <w:color w:val="000000" w:themeColor="text1"/>
          <w:sz w:val="22"/>
          <w:szCs w:val="22"/>
        </w:rPr>
        <w:t xml:space="preserve"> 59 dzieci, specjalistyczno-terapeutycznego – 9 dzieci, rodzinnego </w:t>
      </w:r>
      <w:r w:rsidR="00E661DC" w:rsidRPr="00327458">
        <w:rPr>
          <w:rFonts w:ascii="Arial" w:hAnsi="Arial" w:cs="Arial"/>
          <w:color w:val="000000" w:themeColor="text1"/>
          <w:sz w:val="22"/>
          <w:szCs w:val="22"/>
        </w:rPr>
        <w:t>–</w:t>
      </w:r>
      <w:r w:rsidR="00D57994" w:rsidRPr="00327458">
        <w:rPr>
          <w:rFonts w:ascii="Arial" w:hAnsi="Arial" w:cs="Arial"/>
          <w:color w:val="000000" w:themeColor="text1"/>
          <w:sz w:val="22"/>
          <w:szCs w:val="22"/>
        </w:rPr>
        <w:t xml:space="preserve"> 65 dzieci, regionalnej placówce opiekuńczo-terapeutycznej – 45 dzieci. N</w:t>
      </w:r>
      <w:r w:rsidR="009D69AB" w:rsidRPr="00327458">
        <w:rPr>
          <w:rFonts w:ascii="Arial" w:hAnsi="Arial" w:cs="Arial"/>
          <w:color w:val="000000" w:themeColor="text1"/>
          <w:sz w:val="22"/>
          <w:szCs w:val="22"/>
        </w:rPr>
        <w:t>ajczęstszym powodem umieszczenia w pieczy</w:t>
      </w:r>
      <w:r w:rsidR="00B73008" w:rsidRPr="00327458">
        <w:rPr>
          <w:rFonts w:ascii="Arial" w:hAnsi="Arial" w:cs="Arial"/>
          <w:color w:val="000000" w:themeColor="text1"/>
          <w:sz w:val="22"/>
          <w:szCs w:val="22"/>
        </w:rPr>
        <w:t xml:space="preserve"> (42,1%)</w:t>
      </w:r>
      <w:r w:rsidR="009D69AB" w:rsidRPr="00327458">
        <w:rPr>
          <w:rFonts w:ascii="Arial" w:hAnsi="Arial" w:cs="Arial"/>
          <w:color w:val="000000" w:themeColor="text1"/>
          <w:sz w:val="22"/>
          <w:szCs w:val="22"/>
        </w:rPr>
        <w:t xml:space="preserve"> była bezradność w</w:t>
      </w:r>
      <w:r w:rsidR="00E51F38" w:rsidRPr="00327458">
        <w:rPr>
          <w:rFonts w:ascii="Arial" w:hAnsi="Arial" w:cs="Arial"/>
          <w:color w:val="000000" w:themeColor="text1"/>
          <w:sz w:val="22"/>
          <w:szCs w:val="22"/>
        </w:rPr>
        <w:t> </w:t>
      </w:r>
      <w:r w:rsidR="009D69AB" w:rsidRPr="00327458">
        <w:rPr>
          <w:rFonts w:ascii="Arial" w:hAnsi="Arial" w:cs="Arial"/>
          <w:color w:val="000000" w:themeColor="text1"/>
          <w:sz w:val="22"/>
          <w:szCs w:val="22"/>
        </w:rPr>
        <w:t>sprawach opiekuńczo-wychowawczych</w:t>
      </w:r>
      <w:r w:rsidR="005D15E3" w:rsidRPr="00327458">
        <w:rPr>
          <w:rStyle w:val="Odwoanieprzypisudolnego"/>
          <w:rFonts w:ascii="Arial" w:hAnsi="Arial" w:cs="Arial"/>
          <w:color w:val="000000" w:themeColor="text1"/>
          <w:sz w:val="22"/>
          <w:szCs w:val="22"/>
        </w:rPr>
        <w:footnoteReference w:id="11"/>
      </w:r>
      <w:r w:rsidR="00304DA3" w:rsidRPr="00327458">
        <w:rPr>
          <w:rFonts w:ascii="Arial" w:hAnsi="Arial" w:cs="Arial"/>
          <w:color w:val="000000" w:themeColor="text1"/>
          <w:sz w:val="22"/>
          <w:szCs w:val="22"/>
        </w:rPr>
        <w:t>.</w:t>
      </w:r>
      <w:r w:rsidR="008E0387" w:rsidRPr="00327458">
        <w:rPr>
          <w:rFonts w:ascii="Arial" w:hAnsi="Arial" w:cs="Arial"/>
          <w:color w:val="000000" w:themeColor="text1"/>
          <w:sz w:val="22"/>
          <w:szCs w:val="22"/>
        </w:rPr>
        <w:t xml:space="preserve"> Czas przebywania w pieczy zastępczej wydłuża się</w:t>
      </w:r>
      <w:r w:rsidR="0040648D" w:rsidRPr="00327458">
        <w:rPr>
          <w:rFonts w:ascii="Arial" w:hAnsi="Arial" w:cs="Arial"/>
          <w:color w:val="000000" w:themeColor="text1"/>
          <w:sz w:val="22"/>
          <w:szCs w:val="22"/>
        </w:rPr>
        <w:t xml:space="preserve">, </w:t>
      </w:r>
      <w:r w:rsidR="00084155" w:rsidRPr="00327458">
        <w:rPr>
          <w:rFonts w:ascii="Arial" w:hAnsi="Arial" w:cs="Arial"/>
          <w:color w:val="000000" w:themeColor="text1"/>
          <w:sz w:val="22"/>
          <w:szCs w:val="22"/>
        </w:rPr>
        <w:t>jednak</w:t>
      </w:r>
      <w:r w:rsidR="003D7FBC" w:rsidRPr="00327458">
        <w:rPr>
          <w:rFonts w:ascii="Arial" w:hAnsi="Arial" w:cs="Arial"/>
          <w:color w:val="000000" w:themeColor="text1"/>
          <w:sz w:val="22"/>
          <w:szCs w:val="22"/>
        </w:rPr>
        <w:t xml:space="preserve"> </w:t>
      </w:r>
      <w:r w:rsidR="008E0387" w:rsidRPr="00327458">
        <w:rPr>
          <w:rFonts w:ascii="Arial" w:hAnsi="Arial" w:cs="Arial"/>
          <w:color w:val="000000" w:themeColor="text1"/>
          <w:sz w:val="22"/>
          <w:szCs w:val="22"/>
        </w:rPr>
        <w:t>przeważa jej rodzinna forma – w 2021 r. 80,6%</w:t>
      </w:r>
      <w:r w:rsidR="00084155" w:rsidRPr="00327458">
        <w:rPr>
          <w:rFonts w:ascii="Arial" w:hAnsi="Arial" w:cs="Arial"/>
          <w:color w:val="000000" w:themeColor="text1"/>
          <w:sz w:val="22"/>
          <w:szCs w:val="22"/>
        </w:rPr>
        <w:t>, co świadczy o odchodzeniu od</w:t>
      </w:r>
      <w:r w:rsidR="00E51F38" w:rsidRPr="00327458">
        <w:rPr>
          <w:rFonts w:ascii="Arial" w:hAnsi="Arial" w:cs="Arial"/>
          <w:color w:val="000000" w:themeColor="text1"/>
          <w:sz w:val="22"/>
          <w:szCs w:val="22"/>
        </w:rPr>
        <w:t> </w:t>
      </w:r>
      <w:r w:rsidR="00084155" w:rsidRPr="00327458">
        <w:rPr>
          <w:rFonts w:ascii="Arial" w:hAnsi="Arial" w:cs="Arial"/>
          <w:color w:val="000000" w:themeColor="text1"/>
          <w:sz w:val="22"/>
          <w:szCs w:val="22"/>
        </w:rPr>
        <w:t>formy instytucjonalnej</w:t>
      </w:r>
      <w:r w:rsidR="00C10C0A" w:rsidRPr="00327458">
        <w:rPr>
          <w:rStyle w:val="Odwoanieprzypisudolnego"/>
          <w:rFonts w:ascii="Arial" w:hAnsi="Arial" w:cs="Arial"/>
          <w:color w:val="000000" w:themeColor="text1"/>
          <w:sz w:val="22"/>
          <w:szCs w:val="22"/>
        </w:rPr>
        <w:footnoteReference w:id="12"/>
      </w:r>
      <w:r w:rsidR="0040648D" w:rsidRPr="00327458">
        <w:rPr>
          <w:rFonts w:ascii="Arial" w:hAnsi="Arial" w:cs="Arial"/>
          <w:color w:val="000000" w:themeColor="text1"/>
          <w:sz w:val="22"/>
          <w:szCs w:val="22"/>
        </w:rPr>
        <w:t>.</w:t>
      </w:r>
    </w:p>
    <w:p w:rsidR="00226EB7" w:rsidRPr="00327458" w:rsidRDefault="008F3BBE" w:rsidP="00AB6398">
      <w:pPr>
        <w:spacing w:after="0" w:line="360" w:lineRule="auto"/>
        <w:ind w:firstLine="708"/>
        <w:rPr>
          <w:rFonts w:ascii="Arial" w:hAnsi="Arial" w:cs="Arial"/>
          <w:color w:val="000000" w:themeColor="text1"/>
        </w:rPr>
      </w:pPr>
      <w:r w:rsidRPr="00327458">
        <w:rPr>
          <w:rFonts w:ascii="Arial" w:hAnsi="Arial" w:cs="Arial"/>
          <w:color w:val="000000" w:themeColor="text1"/>
        </w:rPr>
        <w:t>Rodziny</w:t>
      </w:r>
      <w:r w:rsidR="001D6023" w:rsidRPr="00327458">
        <w:rPr>
          <w:rFonts w:ascii="Arial" w:hAnsi="Arial" w:cs="Arial"/>
          <w:color w:val="000000" w:themeColor="text1"/>
        </w:rPr>
        <w:t xml:space="preserve"> z dziećmi z niepełnosprawnościami mogą korzystać ze świadczeń opiekuńczych – w 2021 r. ogólna</w:t>
      </w:r>
      <w:r w:rsidR="001D6023" w:rsidRPr="00327458">
        <w:rPr>
          <w:rStyle w:val="Odwoanieprzypisudolnego"/>
          <w:rFonts w:ascii="Arial" w:hAnsi="Arial" w:cs="Arial"/>
          <w:color w:val="000000" w:themeColor="text1"/>
        </w:rPr>
        <w:footnoteReference w:id="13"/>
      </w:r>
      <w:r w:rsidR="001D6023" w:rsidRPr="00327458">
        <w:rPr>
          <w:rFonts w:ascii="Arial" w:hAnsi="Arial" w:cs="Arial"/>
          <w:color w:val="000000" w:themeColor="text1"/>
        </w:rPr>
        <w:t xml:space="preserve"> ich liczba była o 22,5 tys. (1,9%) większa niż w 2020 r. </w:t>
      </w:r>
      <w:r w:rsidR="00D1026F" w:rsidRPr="00327458">
        <w:rPr>
          <w:rFonts w:ascii="Arial" w:hAnsi="Arial" w:cs="Arial"/>
          <w:color w:val="000000" w:themeColor="text1"/>
        </w:rPr>
        <w:t xml:space="preserve">Także w przypadku </w:t>
      </w:r>
      <w:r w:rsidR="00DD1C1B" w:rsidRPr="00327458">
        <w:rPr>
          <w:rFonts w:ascii="Arial" w:hAnsi="Arial" w:cs="Arial"/>
          <w:color w:val="000000" w:themeColor="text1"/>
        </w:rPr>
        <w:t>zasiłku pielęgnacyjnego, przysługującego dziecku z</w:t>
      </w:r>
      <w:r w:rsidR="00E51F38" w:rsidRPr="00327458">
        <w:rPr>
          <w:rFonts w:ascii="Arial" w:hAnsi="Arial" w:cs="Arial"/>
          <w:color w:val="000000" w:themeColor="text1"/>
        </w:rPr>
        <w:t> </w:t>
      </w:r>
      <w:r w:rsidR="00DD1C1B" w:rsidRPr="00327458">
        <w:rPr>
          <w:rFonts w:ascii="Arial" w:hAnsi="Arial" w:cs="Arial"/>
          <w:color w:val="000000" w:themeColor="text1"/>
        </w:rPr>
        <w:t>niepełnosprawnością w analogicznym okresie odnotowano wzrost przyznanych świadczeń – o 13,2 tys. (6,3%)</w:t>
      </w:r>
      <w:r w:rsidR="00DD1C1B" w:rsidRPr="00327458">
        <w:rPr>
          <w:rStyle w:val="Odwoanieprzypisudolnego"/>
          <w:rFonts w:ascii="Arial" w:hAnsi="Arial" w:cs="Arial"/>
          <w:color w:val="000000" w:themeColor="text1"/>
        </w:rPr>
        <w:footnoteReference w:id="14"/>
      </w:r>
      <w:r w:rsidR="00DD1C1B" w:rsidRPr="00327458">
        <w:rPr>
          <w:rFonts w:ascii="Arial" w:hAnsi="Arial" w:cs="Arial"/>
          <w:color w:val="000000" w:themeColor="text1"/>
        </w:rPr>
        <w:t>.</w:t>
      </w:r>
    </w:p>
    <w:p w:rsidR="00BC0433" w:rsidRPr="00327458" w:rsidRDefault="00165D57" w:rsidP="00A6253F">
      <w:pPr>
        <w:spacing w:after="0" w:line="360" w:lineRule="auto"/>
        <w:ind w:firstLine="708"/>
        <w:rPr>
          <w:rFonts w:ascii="Arial" w:hAnsi="Arial" w:cs="Arial"/>
          <w:color w:val="000000" w:themeColor="text1"/>
        </w:rPr>
      </w:pPr>
      <w:r w:rsidRPr="00327458">
        <w:rPr>
          <w:rFonts w:ascii="Arial" w:hAnsi="Arial" w:cs="Arial"/>
          <w:color w:val="000000" w:themeColor="text1"/>
        </w:rPr>
        <w:t>Wnioski z</w:t>
      </w:r>
      <w:r w:rsidR="00657961" w:rsidRPr="00327458">
        <w:rPr>
          <w:rFonts w:ascii="Arial" w:hAnsi="Arial" w:cs="Arial"/>
          <w:color w:val="000000" w:themeColor="text1"/>
        </w:rPr>
        <w:t xml:space="preserve"> badań przeprowadzonych wśród przedstawicieli(ek) gmin </w:t>
      </w:r>
      <w:r w:rsidR="004D246D" w:rsidRPr="00327458">
        <w:rPr>
          <w:rFonts w:ascii="Arial" w:hAnsi="Arial" w:cs="Arial"/>
          <w:color w:val="000000" w:themeColor="text1"/>
        </w:rPr>
        <w:t>wskazują, że</w:t>
      </w:r>
      <w:r w:rsidR="00226EB7" w:rsidRPr="00327458">
        <w:rPr>
          <w:rFonts w:ascii="Arial" w:hAnsi="Arial" w:cs="Arial"/>
          <w:color w:val="000000" w:themeColor="text1"/>
        </w:rPr>
        <w:t> </w:t>
      </w:r>
      <w:r w:rsidRPr="00327458">
        <w:rPr>
          <w:rFonts w:ascii="Arial" w:hAnsi="Arial" w:cs="Arial"/>
          <w:color w:val="000000" w:themeColor="text1"/>
        </w:rPr>
        <w:t>liczba placówek wsparcia dziennego, a także innych form wsparcia rodzin doświadczających trudności opiekuńczo-wychowawczych (m.in. streetworking, formy pracy podwórkowej)</w:t>
      </w:r>
      <w:r w:rsidR="00F05A87" w:rsidRPr="00327458">
        <w:rPr>
          <w:rFonts w:ascii="Arial" w:hAnsi="Arial" w:cs="Arial"/>
          <w:color w:val="000000" w:themeColor="text1"/>
        </w:rPr>
        <w:t xml:space="preserve"> jest</w:t>
      </w:r>
      <w:r w:rsidRPr="00327458">
        <w:rPr>
          <w:rFonts w:ascii="Arial" w:hAnsi="Arial" w:cs="Arial"/>
          <w:color w:val="000000" w:themeColor="text1"/>
        </w:rPr>
        <w:t xml:space="preserve"> niewystarczająca. </w:t>
      </w:r>
      <w:r w:rsidR="005F0ABD" w:rsidRPr="00327458">
        <w:rPr>
          <w:rFonts w:ascii="Arial" w:hAnsi="Arial" w:cs="Arial"/>
          <w:color w:val="000000" w:themeColor="text1"/>
        </w:rPr>
        <w:t xml:space="preserve">DI zakłada zastępowanie placówek rodzinnymi formami wsparcia, </w:t>
      </w:r>
      <w:r w:rsidR="00226EB7" w:rsidRPr="00327458">
        <w:rPr>
          <w:rFonts w:ascii="Arial" w:hAnsi="Arial" w:cs="Arial"/>
          <w:color w:val="000000" w:themeColor="text1"/>
        </w:rPr>
        <w:t>jednak jak wskaza</w:t>
      </w:r>
      <w:r w:rsidR="001B7661" w:rsidRPr="00327458">
        <w:rPr>
          <w:rFonts w:ascii="Arial" w:hAnsi="Arial" w:cs="Arial"/>
          <w:color w:val="000000" w:themeColor="text1"/>
        </w:rPr>
        <w:t>ły osoby badane</w:t>
      </w:r>
      <w:r w:rsidR="00226EB7" w:rsidRPr="00327458">
        <w:rPr>
          <w:rFonts w:ascii="Arial" w:hAnsi="Arial" w:cs="Arial"/>
          <w:color w:val="000000" w:themeColor="text1"/>
        </w:rPr>
        <w:t xml:space="preserve"> – całkowite odejście od nich nie jest możliwe, </w:t>
      </w:r>
      <w:r w:rsidR="001B7661" w:rsidRPr="00327458">
        <w:rPr>
          <w:rFonts w:ascii="Arial" w:hAnsi="Arial" w:cs="Arial"/>
          <w:color w:val="000000" w:themeColor="text1"/>
        </w:rPr>
        <w:t>m.in.</w:t>
      </w:r>
      <w:r w:rsidR="00226EB7" w:rsidRPr="00327458">
        <w:rPr>
          <w:rFonts w:ascii="Arial" w:hAnsi="Arial" w:cs="Arial"/>
          <w:color w:val="000000" w:themeColor="text1"/>
        </w:rPr>
        <w:t xml:space="preserve"> ze względu na trudności znalezienia się w pieczy dzieci z deficytami, zaburzeniami czy objętych nadzorem kuratorskim. Kluczowa w tym względzie pozostaje „czysta” praca socjalna prowadzona z rodziną w środowisku jej zamieszkania, która może ograniczać liczbę dzieci umieszczonych w pieczy instytucjonalnej</w:t>
      </w:r>
      <w:r w:rsidR="00226EB7" w:rsidRPr="00327458">
        <w:rPr>
          <w:rStyle w:val="Odwoanieprzypisudolnego"/>
          <w:rFonts w:ascii="Arial" w:hAnsi="Arial" w:cs="Arial"/>
          <w:color w:val="000000" w:themeColor="text1"/>
        </w:rPr>
        <w:footnoteReference w:id="15"/>
      </w:r>
      <w:r w:rsidR="00226EB7" w:rsidRPr="00327458">
        <w:rPr>
          <w:rFonts w:ascii="Arial" w:hAnsi="Arial" w:cs="Arial"/>
          <w:color w:val="000000" w:themeColor="text1"/>
        </w:rPr>
        <w:t>.</w:t>
      </w:r>
    </w:p>
    <w:p w:rsidR="00BC68E7" w:rsidRPr="00327458" w:rsidRDefault="00BC68E7" w:rsidP="00A6253F">
      <w:pPr>
        <w:spacing w:line="360" w:lineRule="auto"/>
        <w:ind w:firstLine="708"/>
        <w:rPr>
          <w:rFonts w:ascii="Arial" w:hAnsi="Arial" w:cs="Arial"/>
          <w:color w:val="000000" w:themeColor="text1"/>
        </w:rPr>
      </w:pPr>
      <w:r w:rsidRPr="00327458">
        <w:rPr>
          <w:rFonts w:ascii="Arial" w:hAnsi="Arial" w:cs="Arial"/>
          <w:color w:val="000000" w:themeColor="text1"/>
        </w:rPr>
        <w:t>W zakresie usług medycznych dużym wsparciem dla rozwoju DI będzie realizacja projektu „Pomorskie e-Zdrowie” oraz Przedsięwzięcia Strategicznego pn.: „Jakość i</w:t>
      </w:r>
      <w:r w:rsidR="00A6253F">
        <w:rPr>
          <w:rFonts w:ascii="Arial" w:hAnsi="Arial" w:cs="Arial"/>
          <w:color w:val="000000" w:themeColor="text1"/>
        </w:rPr>
        <w:t> </w:t>
      </w:r>
      <w:r w:rsidRPr="00327458">
        <w:rPr>
          <w:rFonts w:ascii="Arial" w:hAnsi="Arial" w:cs="Arial"/>
          <w:color w:val="000000" w:themeColor="text1"/>
        </w:rPr>
        <w:t>bezpieczeństwo w podmiotach leczniczych”</w:t>
      </w:r>
      <w:r w:rsidR="004A00EB" w:rsidRPr="00327458">
        <w:rPr>
          <w:rFonts w:ascii="Arial" w:hAnsi="Arial" w:cs="Arial"/>
          <w:color w:val="000000" w:themeColor="text1"/>
        </w:rPr>
        <w:t xml:space="preserve">, którego istotnym elementem jest </w:t>
      </w:r>
      <w:r w:rsidR="004A00EB" w:rsidRPr="00327458">
        <w:rPr>
          <w:rFonts w:ascii="Arial" w:hAnsi="Arial" w:cs="Arial"/>
          <w:bCs/>
          <w:color w:val="000000" w:themeColor="text1"/>
        </w:rPr>
        <w:t>wzrost dostępności usług medycznych w trybie ambulatoryjnym</w:t>
      </w:r>
      <w:r w:rsidRPr="00327458">
        <w:rPr>
          <w:rFonts w:ascii="Arial" w:hAnsi="Arial" w:cs="Arial"/>
          <w:color w:val="000000" w:themeColor="text1"/>
        </w:rPr>
        <w:t>. Kolejno wprowadzane e-usługi</w:t>
      </w:r>
      <w:r w:rsidR="007D64CC" w:rsidRPr="00327458">
        <w:rPr>
          <w:rFonts w:ascii="Arial" w:hAnsi="Arial" w:cs="Arial"/>
          <w:color w:val="000000" w:themeColor="text1"/>
        </w:rPr>
        <w:t xml:space="preserve"> </w:t>
      </w:r>
      <w:r w:rsidRPr="00327458">
        <w:rPr>
          <w:rFonts w:ascii="Arial" w:hAnsi="Arial" w:cs="Arial"/>
          <w:color w:val="000000" w:themeColor="text1"/>
        </w:rPr>
        <w:t>oraz realizacja projektów związanych z jakością i dostępnością pozwolą na realizację szerszego zakresu usług medycznych dla mieszkańców</w:t>
      </w:r>
      <w:r w:rsidR="00E7658B" w:rsidRPr="00327458">
        <w:rPr>
          <w:rFonts w:ascii="Arial" w:hAnsi="Arial" w:cs="Arial"/>
          <w:color w:val="000000" w:themeColor="text1"/>
        </w:rPr>
        <w:t xml:space="preserve">, </w:t>
      </w:r>
      <w:r w:rsidRPr="00327458">
        <w:rPr>
          <w:rFonts w:ascii="Arial" w:hAnsi="Arial" w:cs="Arial"/>
          <w:color w:val="000000" w:themeColor="text1"/>
        </w:rPr>
        <w:t>w szczególności wybranych w/w grup narażonych na wykluczenie.</w:t>
      </w:r>
    </w:p>
    <w:p w:rsidR="00310EA7" w:rsidRPr="00327458" w:rsidRDefault="00310EA7" w:rsidP="00310EA7">
      <w:pPr>
        <w:pStyle w:val="Nagwek3"/>
        <w:spacing w:before="100" w:beforeAutospacing="1" w:after="100" w:afterAutospacing="1"/>
        <w:rPr>
          <w:rFonts w:cs="Arial"/>
          <w:color w:val="000000" w:themeColor="text1"/>
        </w:rPr>
      </w:pPr>
      <w:r w:rsidRPr="00327458">
        <w:rPr>
          <w:rFonts w:cs="Arial"/>
          <w:color w:val="000000" w:themeColor="text1"/>
        </w:rPr>
        <w:t>Wnioski</w:t>
      </w:r>
    </w:p>
    <w:p w:rsidR="00110343" w:rsidRPr="00327458" w:rsidRDefault="00D9242F" w:rsidP="001D38F2">
      <w:pPr>
        <w:pStyle w:val="Bezodstpw"/>
        <w:spacing w:line="360" w:lineRule="auto"/>
        <w:rPr>
          <w:rFonts w:ascii="Arial" w:hAnsi="Arial" w:cs="Arial"/>
          <w:color w:val="000000" w:themeColor="text1"/>
        </w:rPr>
      </w:pPr>
      <w:r w:rsidRPr="00327458">
        <w:rPr>
          <w:rFonts w:ascii="Arial" w:hAnsi="Arial" w:cs="Arial"/>
          <w:color w:val="000000" w:themeColor="text1"/>
        </w:rPr>
        <w:t xml:space="preserve">Rozwój oraz deinstytucjonalizacja </w:t>
      </w:r>
      <w:r w:rsidR="00BD5917" w:rsidRPr="00327458">
        <w:rPr>
          <w:rFonts w:ascii="Arial" w:hAnsi="Arial" w:cs="Arial"/>
          <w:color w:val="000000" w:themeColor="text1"/>
        </w:rPr>
        <w:t xml:space="preserve">usług społecznych i zdrowotnych w tym obszarze </w:t>
      </w:r>
      <w:r w:rsidR="001D38F2" w:rsidRPr="00327458">
        <w:rPr>
          <w:rFonts w:ascii="Arial" w:hAnsi="Arial" w:cs="Arial"/>
          <w:color w:val="000000" w:themeColor="text1"/>
        </w:rPr>
        <w:t>w</w:t>
      </w:r>
      <w:r w:rsidR="006139AF" w:rsidRPr="00327458">
        <w:rPr>
          <w:rFonts w:ascii="Arial" w:hAnsi="Arial" w:cs="Arial"/>
          <w:color w:val="000000" w:themeColor="text1"/>
        </w:rPr>
        <w:t> </w:t>
      </w:r>
      <w:r w:rsidR="001D38F2" w:rsidRPr="00327458">
        <w:rPr>
          <w:rFonts w:ascii="Arial" w:hAnsi="Arial" w:cs="Arial"/>
          <w:color w:val="000000" w:themeColor="text1"/>
        </w:rPr>
        <w:t xml:space="preserve">przypadku rodzin z dziećmi pozostającymi w środowisku lokalnym </w:t>
      </w:r>
      <w:r w:rsidR="00A6253F">
        <w:rPr>
          <w:rFonts w:ascii="Arial" w:hAnsi="Arial" w:cs="Arial"/>
          <w:color w:val="000000" w:themeColor="text1"/>
        </w:rPr>
        <w:t>wymaga</w:t>
      </w:r>
      <w:r w:rsidR="00A6253F" w:rsidRPr="00327458">
        <w:rPr>
          <w:rFonts w:ascii="Arial" w:hAnsi="Arial" w:cs="Arial"/>
          <w:color w:val="000000" w:themeColor="text1"/>
        </w:rPr>
        <w:t xml:space="preserve"> roz</w:t>
      </w:r>
      <w:r w:rsidR="00A6253F">
        <w:rPr>
          <w:rFonts w:ascii="Arial" w:hAnsi="Arial" w:cs="Arial"/>
          <w:color w:val="000000" w:themeColor="text1"/>
        </w:rPr>
        <w:t>wijania</w:t>
      </w:r>
      <w:r w:rsidR="00A6253F" w:rsidRPr="00327458">
        <w:rPr>
          <w:rFonts w:ascii="Arial" w:hAnsi="Arial" w:cs="Arial"/>
          <w:color w:val="000000" w:themeColor="text1"/>
        </w:rPr>
        <w:t xml:space="preserve"> </w:t>
      </w:r>
      <w:r w:rsidR="001D38F2" w:rsidRPr="00327458">
        <w:rPr>
          <w:rFonts w:ascii="Arial" w:hAnsi="Arial" w:cs="Arial"/>
          <w:color w:val="000000" w:themeColor="text1"/>
        </w:rPr>
        <w:lastRenderedPageBreak/>
        <w:t>oferty placówek wsparcia dziennego.</w:t>
      </w:r>
      <w:r w:rsidR="00A87596" w:rsidRPr="00327458">
        <w:rPr>
          <w:rFonts w:ascii="Arial" w:hAnsi="Arial" w:cs="Arial"/>
          <w:color w:val="000000" w:themeColor="text1"/>
        </w:rPr>
        <w:t xml:space="preserve"> Rekomenduje się</w:t>
      </w:r>
      <w:r w:rsidR="00A6253F">
        <w:rPr>
          <w:rFonts w:ascii="Arial" w:hAnsi="Arial" w:cs="Arial"/>
          <w:color w:val="000000" w:themeColor="text1"/>
        </w:rPr>
        <w:t xml:space="preserve"> także</w:t>
      </w:r>
      <w:r w:rsidR="00A87596" w:rsidRPr="00327458">
        <w:rPr>
          <w:rFonts w:ascii="Arial" w:hAnsi="Arial" w:cs="Arial"/>
          <w:color w:val="000000" w:themeColor="text1"/>
        </w:rPr>
        <w:t xml:space="preserve"> rozwój asystentury rodzin poprzez zwiększenie liczby pracowników</w:t>
      </w:r>
      <w:r w:rsidR="00A6253F">
        <w:rPr>
          <w:rFonts w:ascii="Arial" w:hAnsi="Arial" w:cs="Arial"/>
          <w:color w:val="000000" w:themeColor="text1"/>
        </w:rPr>
        <w:t>(czek)</w:t>
      </w:r>
      <w:r w:rsidR="00A87596" w:rsidRPr="00327458">
        <w:rPr>
          <w:rFonts w:ascii="Arial" w:hAnsi="Arial" w:cs="Arial"/>
          <w:color w:val="000000" w:themeColor="text1"/>
        </w:rPr>
        <w:t xml:space="preserve"> w miejscach, w których ta usługa jest realizowana oraz zapewnienie jej tam, gdzie obecnie nie świadczy się tego typu usług (</w:t>
      </w:r>
      <w:r w:rsidR="00330CE6" w:rsidRPr="00327458">
        <w:rPr>
          <w:rFonts w:ascii="Arial" w:hAnsi="Arial" w:cs="Arial"/>
          <w:color w:val="000000" w:themeColor="text1"/>
        </w:rPr>
        <w:t xml:space="preserve">tzw. </w:t>
      </w:r>
      <w:r w:rsidR="00A87596" w:rsidRPr="00327458">
        <w:rPr>
          <w:rFonts w:ascii="Arial" w:hAnsi="Arial" w:cs="Arial"/>
          <w:color w:val="000000" w:themeColor="text1"/>
        </w:rPr>
        <w:t>„białe plamy”).</w:t>
      </w:r>
    </w:p>
    <w:p w:rsidR="001D38F2" w:rsidRPr="00327458" w:rsidRDefault="001D38F2" w:rsidP="00110343">
      <w:pPr>
        <w:pStyle w:val="Bezodstpw"/>
        <w:spacing w:line="360" w:lineRule="auto"/>
        <w:ind w:firstLine="708"/>
        <w:rPr>
          <w:rFonts w:ascii="Arial" w:hAnsi="Arial" w:cs="Arial"/>
          <w:color w:val="000000" w:themeColor="text1"/>
        </w:rPr>
      </w:pPr>
      <w:r w:rsidRPr="00327458">
        <w:rPr>
          <w:rFonts w:ascii="Arial" w:hAnsi="Arial" w:cs="Arial"/>
          <w:color w:val="000000" w:themeColor="text1"/>
        </w:rPr>
        <w:t>Biorąc pod uwagę najbardziej wymagające grupy dzieci i młodzieży trafiających do</w:t>
      </w:r>
      <w:r w:rsidR="00C16E9A" w:rsidRPr="00327458">
        <w:rPr>
          <w:rFonts w:ascii="Arial" w:hAnsi="Arial" w:cs="Arial"/>
          <w:color w:val="000000" w:themeColor="text1"/>
        </w:rPr>
        <w:t> </w:t>
      </w:r>
      <w:r w:rsidRPr="00327458">
        <w:rPr>
          <w:rFonts w:ascii="Arial" w:hAnsi="Arial" w:cs="Arial"/>
          <w:color w:val="000000" w:themeColor="text1"/>
        </w:rPr>
        <w:t>pieczy (dzieci z niepełnosprawnościami, niedostosowane społecznie), istotne znaczenie ma rozwój zawodowego rodzicielstwa zastępczego. Niezbędna jest zatem kontynuacja działań ukierunkowanych na tworzenie rodzinnych form opieki zastępczej (w tym rodzin wspierających) oraz szkolenia dla kandydatów do pełnienia roli rodzica zastępczego.</w:t>
      </w:r>
    </w:p>
    <w:p w:rsidR="00B577B6" w:rsidRPr="00327458" w:rsidRDefault="003F728C" w:rsidP="00FA22B8">
      <w:pPr>
        <w:pStyle w:val="Bezodstpw"/>
        <w:spacing w:line="360" w:lineRule="auto"/>
        <w:ind w:firstLine="708"/>
        <w:rPr>
          <w:rFonts w:ascii="Arial" w:hAnsi="Arial" w:cs="Arial"/>
          <w:color w:val="000000" w:themeColor="text1"/>
        </w:rPr>
      </w:pPr>
      <w:r w:rsidRPr="00327458">
        <w:rPr>
          <w:rFonts w:ascii="Arial" w:hAnsi="Arial" w:cs="Arial"/>
          <w:color w:val="000000" w:themeColor="text1"/>
        </w:rPr>
        <w:t xml:space="preserve">Ważnymi komponentami </w:t>
      </w:r>
      <w:r w:rsidR="0083096D" w:rsidRPr="00327458">
        <w:rPr>
          <w:rFonts w:ascii="Arial" w:hAnsi="Arial" w:cs="Arial"/>
          <w:color w:val="000000" w:themeColor="text1"/>
        </w:rPr>
        <w:t>usług społecznych dla</w:t>
      </w:r>
      <w:r w:rsidRPr="00327458">
        <w:rPr>
          <w:rFonts w:ascii="Arial" w:hAnsi="Arial" w:cs="Arial"/>
          <w:color w:val="000000" w:themeColor="text1"/>
        </w:rPr>
        <w:t xml:space="preserve"> rodzin jest rozwój oferty specjalistycznego wsparcia dla rodzin znajdujących się w różnego typu kryzysach, rodzin zastępczych i</w:t>
      </w:r>
      <w:r w:rsidR="00FA36F3" w:rsidRPr="00327458">
        <w:rPr>
          <w:rFonts w:ascii="Arial" w:hAnsi="Arial" w:cs="Arial"/>
          <w:color w:val="000000" w:themeColor="text1"/>
        </w:rPr>
        <w:t> </w:t>
      </w:r>
      <w:r w:rsidRPr="00327458">
        <w:rPr>
          <w:rFonts w:ascii="Arial" w:hAnsi="Arial" w:cs="Arial"/>
          <w:color w:val="000000" w:themeColor="text1"/>
        </w:rPr>
        <w:t xml:space="preserve">(post)adopocyjnych, a także rozwój mieszkalnictwa chronionego </w:t>
      </w:r>
      <w:r w:rsidR="008C4045" w:rsidRPr="00327458">
        <w:rPr>
          <w:rFonts w:ascii="Arial" w:hAnsi="Arial" w:cs="Arial"/>
          <w:color w:val="000000" w:themeColor="text1"/>
        </w:rPr>
        <w:t>wspieranego</w:t>
      </w:r>
      <w:r w:rsidR="001447C3" w:rsidRPr="00327458">
        <w:rPr>
          <w:rFonts w:ascii="Arial" w:hAnsi="Arial" w:cs="Arial"/>
          <w:color w:val="000000" w:themeColor="text1"/>
        </w:rPr>
        <w:t xml:space="preserve"> i</w:t>
      </w:r>
      <w:r w:rsidR="008C4045" w:rsidRPr="00327458">
        <w:rPr>
          <w:rFonts w:ascii="Arial" w:hAnsi="Arial" w:cs="Arial"/>
          <w:color w:val="000000" w:themeColor="text1"/>
        </w:rPr>
        <w:t> </w:t>
      </w:r>
      <w:r w:rsidR="001447C3" w:rsidRPr="00327458">
        <w:rPr>
          <w:rFonts w:ascii="Arial" w:hAnsi="Arial" w:cs="Arial"/>
          <w:color w:val="000000" w:themeColor="text1"/>
        </w:rPr>
        <w:t xml:space="preserve">treningowego </w:t>
      </w:r>
      <w:r w:rsidRPr="00327458">
        <w:rPr>
          <w:rFonts w:ascii="Arial" w:hAnsi="Arial" w:cs="Arial"/>
          <w:color w:val="000000" w:themeColor="text1"/>
        </w:rPr>
        <w:t>dedykowanego</w:t>
      </w:r>
      <w:r w:rsidR="0083096D" w:rsidRPr="00327458">
        <w:rPr>
          <w:rFonts w:ascii="Arial" w:hAnsi="Arial" w:cs="Arial"/>
          <w:color w:val="000000" w:themeColor="text1"/>
        </w:rPr>
        <w:t xml:space="preserve"> między innymi</w:t>
      </w:r>
      <w:r w:rsidRPr="00327458">
        <w:rPr>
          <w:rFonts w:ascii="Arial" w:hAnsi="Arial" w:cs="Arial"/>
          <w:color w:val="000000" w:themeColor="text1"/>
        </w:rPr>
        <w:t xml:space="preserve"> osobom opuszczającym pieczę zastępczą.</w:t>
      </w:r>
    </w:p>
    <w:p w:rsidR="001804AC" w:rsidRPr="00327458" w:rsidRDefault="001804AC" w:rsidP="00EC762F">
      <w:pPr>
        <w:pStyle w:val="Nagwek2"/>
        <w:rPr>
          <w:rFonts w:cs="Arial"/>
          <w:color w:val="000000" w:themeColor="text1"/>
        </w:rPr>
      </w:pPr>
      <w:r w:rsidRPr="00327458">
        <w:rPr>
          <w:rFonts w:cs="Arial"/>
          <w:color w:val="000000" w:themeColor="text1"/>
        </w:rPr>
        <w:t>Osoby z niepełnosprawnościami</w:t>
      </w:r>
    </w:p>
    <w:p w:rsidR="007C6DC2" w:rsidRPr="00327458" w:rsidRDefault="0041636F" w:rsidP="00960BC7">
      <w:pPr>
        <w:spacing w:after="0" w:line="360" w:lineRule="auto"/>
        <w:rPr>
          <w:rFonts w:ascii="Arial" w:eastAsia="Times New Roman" w:hAnsi="Arial" w:cs="Arial"/>
          <w:color w:val="000000" w:themeColor="text1"/>
        </w:rPr>
      </w:pPr>
      <w:r w:rsidRPr="00327458">
        <w:rPr>
          <w:rFonts w:ascii="Arial" w:hAnsi="Arial" w:cs="Arial"/>
          <w:color w:val="000000" w:themeColor="text1"/>
        </w:rPr>
        <w:t xml:space="preserve">Niepełnosprawność </w:t>
      </w:r>
      <w:r w:rsidR="00774EAF" w:rsidRPr="00327458">
        <w:rPr>
          <w:rFonts w:ascii="Arial" w:hAnsi="Arial" w:cs="Arial"/>
          <w:color w:val="000000" w:themeColor="text1"/>
        </w:rPr>
        <w:t xml:space="preserve">pod względem liczebności </w:t>
      </w:r>
      <w:r w:rsidR="008B57C8" w:rsidRPr="00327458">
        <w:rPr>
          <w:rFonts w:ascii="Arial" w:hAnsi="Arial" w:cs="Arial"/>
          <w:color w:val="000000" w:themeColor="text1"/>
        </w:rPr>
        <w:t>jest trzecim powodem</w:t>
      </w:r>
      <w:r w:rsidR="00A063F6" w:rsidRPr="00327458">
        <w:rPr>
          <w:rStyle w:val="Odwoanieprzypisudolnego"/>
          <w:rFonts w:ascii="Arial" w:hAnsi="Arial" w:cs="Arial"/>
          <w:color w:val="000000" w:themeColor="text1"/>
        </w:rPr>
        <w:footnoteReference w:id="16"/>
      </w:r>
      <w:r w:rsidR="008B57C8" w:rsidRPr="00327458">
        <w:rPr>
          <w:rFonts w:ascii="Arial" w:hAnsi="Arial" w:cs="Arial"/>
          <w:color w:val="000000" w:themeColor="text1"/>
        </w:rPr>
        <w:t xml:space="preserve"> przyznawania </w:t>
      </w:r>
      <w:r w:rsidR="00E846CD" w:rsidRPr="00327458">
        <w:rPr>
          <w:rFonts w:ascii="Arial" w:hAnsi="Arial" w:cs="Arial"/>
          <w:color w:val="000000" w:themeColor="text1"/>
        </w:rPr>
        <w:t xml:space="preserve">świadczeń z </w:t>
      </w:r>
      <w:r w:rsidR="008B57C8" w:rsidRPr="00327458">
        <w:rPr>
          <w:rFonts w:ascii="Arial" w:hAnsi="Arial" w:cs="Arial"/>
          <w:color w:val="000000" w:themeColor="text1"/>
        </w:rPr>
        <w:t xml:space="preserve">pomocy </w:t>
      </w:r>
      <w:r w:rsidR="00E846CD" w:rsidRPr="00327458">
        <w:rPr>
          <w:rFonts w:ascii="Arial" w:hAnsi="Arial" w:cs="Arial"/>
          <w:color w:val="000000" w:themeColor="text1"/>
        </w:rPr>
        <w:t xml:space="preserve">społecznej </w:t>
      </w:r>
      <w:r w:rsidR="008B57C8" w:rsidRPr="00327458">
        <w:rPr>
          <w:rFonts w:ascii="Arial" w:hAnsi="Arial" w:cs="Arial"/>
          <w:color w:val="000000" w:themeColor="text1"/>
        </w:rPr>
        <w:t>na podstawie decyzji</w:t>
      </w:r>
      <w:r w:rsidR="005C7406" w:rsidRPr="00327458">
        <w:rPr>
          <w:rFonts w:ascii="Arial" w:hAnsi="Arial" w:cs="Arial"/>
          <w:color w:val="000000" w:themeColor="text1"/>
        </w:rPr>
        <w:t xml:space="preserve"> – w 2021 r. </w:t>
      </w:r>
      <w:r w:rsidR="002C1408">
        <w:rPr>
          <w:rFonts w:ascii="Arial" w:hAnsi="Arial" w:cs="Arial"/>
          <w:color w:val="000000" w:themeColor="text1"/>
        </w:rPr>
        <w:t>z tego tytułu</w:t>
      </w:r>
      <w:r w:rsidR="00A063F6" w:rsidRPr="00327458">
        <w:rPr>
          <w:rFonts w:ascii="Arial" w:hAnsi="Arial" w:cs="Arial"/>
          <w:color w:val="000000" w:themeColor="text1"/>
        </w:rPr>
        <w:t xml:space="preserve"> pomocą</w:t>
      </w:r>
      <w:r w:rsidR="002C1408">
        <w:rPr>
          <w:rFonts w:ascii="Arial" w:hAnsi="Arial" w:cs="Arial"/>
          <w:color w:val="000000" w:themeColor="text1"/>
        </w:rPr>
        <w:t xml:space="preserve"> objęto</w:t>
      </w:r>
      <w:r w:rsidR="005C7406" w:rsidRPr="00327458">
        <w:rPr>
          <w:rFonts w:ascii="Arial" w:hAnsi="Arial" w:cs="Arial"/>
          <w:color w:val="000000" w:themeColor="text1"/>
        </w:rPr>
        <w:t xml:space="preserve"> 23,9 tys. </w:t>
      </w:r>
      <w:r w:rsidR="00A063F6" w:rsidRPr="00327458">
        <w:rPr>
          <w:rFonts w:ascii="Arial" w:hAnsi="Arial" w:cs="Arial"/>
          <w:color w:val="000000" w:themeColor="text1"/>
        </w:rPr>
        <w:t>rodzin (w stosunku do 2020 r. spadek</w:t>
      </w:r>
      <w:r w:rsidR="00F231E6" w:rsidRPr="00327458">
        <w:rPr>
          <w:rFonts w:ascii="Arial" w:hAnsi="Arial" w:cs="Arial"/>
          <w:color w:val="000000" w:themeColor="text1"/>
        </w:rPr>
        <w:t xml:space="preserve"> o 6,3%</w:t>
      </w:r>
      <w:r w:rsidR="00A063F6" w:rsidRPr="00327458">
        <w:rPr>
          <w:rFonts w:ascii="Arial" w:hAnsi="Arial" w:cs="Arial"/>
          <w:color w:val="000000" w:themeColor="text1"/>
        </w:rPr>
        <w:t>)</w:t>
      </w:r>
      <w:r w:rsidR="00A063F6" w:rsidRPr="00327458">
        <w:rPr>
          <w:rStyle w:val="Odwoanieprzypisudolnego"/>
          <w:rFonts w:ascii="Arial" w:hAnsi="Arial" w:cs="Arial"/>
          <w:color w:val="000000" w:themeColor="text1"/>
        </w:rPr>
        <w:footnoteReference w:id="17"/>
      </w:r>
      <w:r w:rsidR="00A063F6" w:rsidRPr="00327458">
        <w:rPr>
          <w:rFonts w:ascii="Arial" w:hAnsi="Arial" w:cs="Arial"/>
          <w:color w:val="000000" w:themeColor="text1"/>
        </w:rPr>
        <w:t>.</w:t>
      </w:r>
      <w:r w:rsidR="005C7406" w:rsidRPr="00327458">
        <w:rPr>
          <w:rFonts w:ascii="Arial" w:hAnsi="Arial" w:cs="Arial"/>
          <w:color w:val="000000" w:themeColor="text1"/>
        </w:rPr>
        <w:t xml:space="preserve"> </w:t>
      </w:r>
      <w:r w:rsidR="007D7ABC" w:rsidRPr="00327458">
        <w:rPr>
          <w:rFonts w:ascii="Arial" w:hAnsi="Arial" w:cs="Arial"/>
          <w:color w:val="000000" w:themeColor="text1"/>
        </w:rPr>
        <w:t xml:space="preserve">W </w:t>
      </w:r>
      <w:r w:rsidR="0063684C" w:rsidRPr="00327458">
        <w:rPr>
          <w:rFonts w:ascii="Arial" w:hAnsi="Arial" w:cs="Arial"/>
          <w:color w:val="000000" w:themeColor="text1"/>
        </w:rPr>
        <w:t xml:space="preserve">analogicznym okresie </w:t>
      </w:r>
      <w:r w:rsidR="007D7ABC" w:rsidRPr="00327458">
        <w:rPr>
          <w:rFonts w:ascii="Arial" w:hAnsi="Arial" w:cs="Arial"/>
          <w:color w:val="000000" w:themeColor="text1"/>
        </w:rPr>
        <w:t>zmniejszyła się (o 2,5%, osiągając wartość 24,4 tys.) liczba świadczeń przyznanych z</w:t>
      </w:r>
      <w:r w:rsidR="002C1408">
        <w:rPr>
          <w:rFonts w:ascii="Arial" w:hAnsi="Arial" w:cs="Arial"/>
          <w:color w:val="000000" w:themeColor="text1"/>
        </w:rPr>
        <w:t> </w:t>
      </w:r>
      <w:r w:rsidR="007D7ABC" w:rsidRPr="00327458">
        <w:rPr>
          <w:rFonts w:ascii="Arial" w:hAnsi="Arial" w:cs="Arial"/>
          <w:color w:val="000000" w:themeColor="text1"/>
        </w:rPr>
        <w:t>powodu długotrwałej lub ciężkiej choroby</w:t>
      </w:r>
      <w:r w:rsidR="007D7ABC" w:rsidRPr="00327458">
        <w:rPr>
          <w:rStyle w:val="Odwoanieprzypisudolnego"/>
          <w:rFonts w:ascii="Arial" w:hAnsi="Arial" w:cs="Arial"/>
          <w:color w:val="000000" w:themeColor="text1"/>
        </w:rPr>
        <w:footnoteReference w:id="18"/>
      </w:r>
      <w:r w:rsidR="007D7ABC" w:rsidRPr="00327458">
        <w:rPr>
          <w:rFonts w:ascii="Arial" w:hAnsi="Arial" w:cs="Arial"/>
          <w:color w:val="000000" w:themeColor="text1"/>
        </w:rPr>
        <w:t>.</w:t>
      </w:r>
      <w:r w:rsidR="00CF7D30" w:rsidRPr="00327458">
        <w:rPr>
          <w:rFonts w:ascii="Arial" w:hAnsi="Arial" w:cs="Arial"/>
          <w:color w:val="000000" w:themeColor="text1"/>
        </w:rPr>
        <w:t xml:space="preserve"> Należy jednak zauważyć, że brak jest danych obrazujących liczbę rodzin/osób z niepełnosprawnościami, które nie korzystają ze wsparcia pomocy społecznej, a które powinny być wspierane usługami społecznymi wyrównującymi ich szanse względem</w:t>
      </w:r>
      <w:r w:rsidR="00D45ABE">
        <w:rPr>
          <w:rFonts w:ascii="Arial" w:hAnsi="Arial" w:cs="Arial"/>
          <w:color w:val="000000" w:themeColor="text1"/>
        </w:rPr>
        <w:t xml:space="preserve"> pozostałych</w:t>
      </w:r>
      <w:r w:rsidR="00CF7D30" w:rsidRPr="00327458">
        <w:rPr>
          <w:rFonts w:ascii="Arial" w:hAnsi="Arial" w:cs="Arial"/>
          <w:color w:val="000000" w:themeColor="text1"/>
        </w:rPr>
        <w:t xml:space="preserve"> osób.</w:t>
      </w:r>
    </w:p>
    <w:p w:rsidR="00387D04" w:rsidRPr="00327458" w:rsidRDefault="00387D04" w:rsidP="007C6DC2">
      <w:pPr>
        <w:autoSpaceDE w:val="0"/>
        <w:autoSpaceDN w:val="0"/>
        <w:adjustRightInd w:val="0"/>
        <w:spacing w:after="0" w:line="360" w:lineRule="auto"/>
        <w:ind w:firstLine="708"/>
        <w:rPr>
          <w:rFonts w:ascii="Arial" w:hAnsi="Arial" w:cs="Arial"/>
          <w:color w:val="000000" w:themeColor="text1"/>
        </w:rPr>
      </w:pPr>
      <w:r w:rsidRPr="00327458">
        <w:rPr>
          <w:rFonts w:ascii="Arial" w:hAnsi="Arial" w:cs="Arial"/>
          <w:color w:val="000000" w:themeColor="text1"/>
        </w:rPr>
        <w:t>W 2018 r.</w:t>
      </w:r>
      <w:r w:rsidRPr="00327458">
        <w:rPr>
          <w:rStyle w:val="Odwoanieprzypisudolnego"/>
          <w:rFonts w:ascii="Arial" w:hAnsi="Arial" w:cs="Arial"/>
          <w:color w:val="000000" w:themeColor="text1"/>
        </w:rPr>
        <w:footnoteReference w:id="19"/>
      </w:r>
      <w:r w:rsidRPr="00327458">
        <w:rPr>
          <w:rFonts w:ascii="Arial" w:hAnsi="Arial" w:cs="Arial"/>
          <w:color w:val="000000" w:themeColor="text1"/>
        </w:rPr>
        <w:t xml:space="preserve"> </w:t>
      </w:r>
      <w:r w:rsidR="00BD6BB7" w:rsidRPr="00327458">
        <w:rPr>
          <w:rFonts w:ascii="Arial" w:hAnsi="Arial" w:cs="Arial"/>
          <w:color w:val="000000" w:themeColor="text1"/>
        </w:rPr>
        <w:t>województwo pomorskie osiągnęło</w:t>
      </w:r>
      <w:r w:rsidRPr="00327458">
        <w:rPr>
          <w:rFonts w:ascii="Arial" w:hAnsi="Arial" w:cs="Arial"/>
          <w:color w:val="000000" w:themeColor="text1"/>
        </w:rPr>
        <w:t xml:space="preserve"> najniższ</w:t>
      </w:r>
      <w:r w:rsidR="00BD6BB7" w:rsidRPr="00327458">
        <w:rPr>
          <w:rFonts w:ascii="Arial" w:hAnsi="Arial" w:cs="Arial"/>
          <w:color w:val="000000" w:themeColor="text1"/>
        </w:rPr>
        <w:t xml:space="preserve">e </w:t>
      </w:r>
      <w:r w:rsidRPr="00327458">
        <w:rPr>
          <w:rFonts w:ascii="Arial" w:hAnsi="Arial" w:cs="Arial"/>
          <w:color w:val="000000" w:themeColor="text1"/>
        </w:rPr>
        <w:t>współczynniki natężenia: powstawania „nowej” niezdolności do pracy oraz całkowitej niezdolności do pracy i</w:t>
      </w:r>
      <w:r w:rsidR="00126AD5" w:rsidRPr="00327458">
        <w:rPr>
          <w:rFonts w:ascii="Arial" w:hAnsi="Arial" w:cs="Arial"/>
          <w:color w:val="000000" w:themeColor="text1"/>
        </w:rPr>
        <w:t> </w:t>
      </w:r>
      <w:r w:rsidRPr="00327458">
        <w:rPr>
          <w:rFonts w:ascii="Arial" w:hAnsi="Arial" w:cs="Arial"/>
          <w:color w:val="000000" w:themeColor="text1"/>
        </w:rPr>
        <w:t>samodzielnej egzystencji (odpowiednio 172 i 31)</w:t>
      </w:r>
      <w:r w:rsidRPr="00327458">
        <w:rPr>
          <w:rStyle w:val="Odwoanieprzypisudolnego"/>
          <w:rFonts w:ascii="Arial" w:hAnsi="Arial" w:cs="Arial"/>
          <w:color w:val="000000" w:themeColor="text1"/>
        </w:rPr>
        <w:footnoteReference w:id="20"/>
      </w:r>
      <w:r w:rsidRPr="00327458">
        <w:rPr>
          <w:rFonts w:ascii="Arial" w:hAnsi="Arial" w:cs="Arial"/>
          <w:color w:val="000000" w:themeColor="text1"/>
        </w:rPr>
        <w:t>.</w:t>
      </w:r>
      <w:r w:rsidR="00F56D44" w:rsidRPr="00327458">
        <w:rPr>
          <w:rFonts w:ascii="Arial" w:hAnsi="Arial" w:cs="Arial"/>
          <w:color w:val="000000" w:themeColor="text1"/>
        </w:rPr>
        <w:t xml:space="preserve"> </w:t>
      </w:r>
      <w:r w:rsidR="002121B3" w:rsidRPr="00327458">
        <w:rPr>
          <w:rFonts w:ascii="Arial" w:hAnsi="Arial" w:cs="Arial"/>
          <w:color w:val="000000" w:themeColor="text1"/>
        </w:rPr>
        <w:t>Nasze województwo</w:t>
      </w:r>
      <w:r w:rsidR="00F56D44" w:rsidRPr="00327458">
        <w:rPr>
          <w:rFonts w:ascii="Arial" w:hAnsi="Arial" w:cs="Arial"/>
          <w:color w:val="000000" w:themeColor="text1"/>
        </w:rPr>
        <w:t xml:space="preserve"> charakteryzuje</w:t>
      </w:r>
      <w:r w:rsidR="00126AD5" w:rsidRPr="00327458">
        <w:rPr>
          <w:rFonts w:ascii="Arial" w:hAnsi="Arial" w:cs="Arial"/>
          <w:color w:val="000000" w:themeColor="text1"/>
        </w:rPr>
        <w:t>:</w:t>
      </w:r>
      <w:r w:rsidR="00F56D44" w:rsidRPr="00327458">
        <w:rPr>
          <w:rFonts w:ascii="Arial" w:hAnsi="Arial" w:cs="Arial"/>
          <w:color w:val="000000" w:themeColor="text1"/>
        </w:rPr>
        <w:t xml:space="preserve"> </w:t>
      </w:r>
      <w:r w:rsidR="00765C5C" w:rsidRPr="00327458">
        <w:rPr>
          <w:rFonts w:ascii="Arial" w:hAnsi="Arial" w:cs="Arial"/>
          <w:color w:val="000000" w:themeColor="text1"/>
        </w:rPr>
        <w:t>jeden z niższych</w:t>
      </w:r>
      <w:r w:rsidR="002C46E0" w:rsidRPr="00327458">
        <w:rPr>
          <w:rFonts w:ascii="Arial" w:hAnsi="Arial" w:cs="Arial"/>
          <w:color w:val="000000" w:themeColor="text1"/>
        </w:rPr>
        <w:t xml:space="preserve"> w skali kraju poziom (1)orzeczeń pierwszorazowych wydanych dla celów rentowych, w których ustalono stopień niezdolności do pracy (w 2021 r. 2,9%)</w:t>
      </w:r>
      <w:r w:rsidR="00765C5C" w:rsidRPr="00327458">
        <w:rPr>
          <w:rFonts w:ascii="Arial" w:hAnsi="Arial" w:cs="Arial"/>
          <w:color w:val="000000" w:themeColor="text1"/>
        </w:rPr>
        <w:t>, (2)przeciętny poziom orzeczeń pierwszorazowych i ponownych ustalających niezdolność do pracy wydanych osobom ubiegającym się o rentę socjalną (w 20</w:t>
      </w:r>
      <w:r w:rsidR="00126AD5" w:rsidRPr="00327458">
        <w:rPr>
          <w:rFonts w:ascii="Arial" w:hAnsi="Arial" w:cs="Arial"/>
          <w:color w:val="000000" w:themeColor="text1"/>
        </w:rPr>
        <w:t>2</w:t>
      </w:r>
      <w:r w:rsidR="00765C5C" w:rsidRPr="00327458">
        <w:rPr>
          <w:rFonts w:ascii="Arial" w:hAnsi="Arial" w:cs="Arial"/>
          <w:color w:val="000000" w:themeColor="text1"/>
        </w:rPr>
        <w:t>1 r. 6,2%) oraz stosunkowo wysoki poziom (3)</w:t>
      </w:r>
      <w:r w:rsidR="002C46E0" w:rsidRPr="00327458">
        <w:rPr>
          <w:rFonts w:ascii="Arial" w:hAnsi="Arial" w:cs="Arial"/>
          <w:color w:val="000000" w:themeColor="text1"/>
        </w:rPr>
        <w:t xml:space="preserve">orzeczeń pierwszorazowych uprawniających do świadczenia </w:t>
      </w:r>
      <w:r w:rsidR="002C46E0" w:rsidRPr="00327458">
        <w:rPr>
          <w:rFonts w:ascii="Arial" w:hAnsi="Arial" w:cs="Arial"/>
          <w:color w:val="000000" w:themeColor="text1"/>
        </w:rPr>
        <w:lastRenderedPageBreak/>
        <w:t xml:space="preserve">rehabilitacyjnego (w 2021 r. 7,1%) oraz </w:t>
      </w:r>
      <w:r w:rsidR="00765C5C" w:rsidRPr="00327458">
        <w:rPr>
          <w:rFonts w:ascii="Arial" w:hAnsi="Arial" w:cs="Arial"/>
          <w:color w:val="000000" w:themeColor="text1"/>
        </w:rPr>
        <w:t>(4)</w:t>
      </w:r>
      <w:r w:rsidR="002C46E0" w:rsidRPr="00327458">
        <w:rPr>
          <w:rFonts w:ascii="Arial" w:hAnsi="Arial" w:cs="Arial"/>
          <w:color w:val="000000" w:themeColor="text1"/>
        </w:rPr>
        <w:t>orzeczeń ponownych uprawniających do</w:t>
      </w:r>
      <w:r w:rsidR="00126AD5" w:rsidRPr="00327458">
        <w:rPr>
          <w:rFonts w:ascii="Arial" w:hAnsi="Arial" w:cs="Arial"/>
          <w:color w:val="000000" w:themeColor="text1"/>
        </w:rPr>
        <w:t> </w:t>
      </w:r>
      <w:r w:rsidR="002C46E0" w:rsidRPr="00327458">
        <w:rPr>
          <w:rFonts w:ascii="Arial" w:hAnsi="Arial" w:cs="Arial"/>
          <w:color w:val="000000" w:themeColor="text1"/>
        </w:rPr>
        <w:t>świadczenia rehabilitacyjnego (w 2021 r. 9,2%)</w:t>
      </w:r>
      <w:r w:rsidR="00765C5C" w:rsidRPr="00327458">
        <w:rPr>
          <w:rFonts w:ascii="Arial" w:hAnsi="Arial" w:cs="Arial"/>
          <w:color w:val="000000" w:themeColor="text1"/>
        </w:rPr>
        <w:t xml:space="preserve">. W przypadku </w:t>
      </w:r>
      <w:r w:rsidR="006616B0" w:rsidRPr="00327458">
        <w:rPr>
          <w:rFonts w:ascii="Arial" w:hAnsi="Arial" w:cs="Arial"/>
          <w:color w:val="000000" w:themeColor="text1"/>
        </w:rPr>
        <w:t>orzeczeń oznaczonych jako (1),</w:t>
      </w:r>
      <w:r w:rsidR="00476AFF" w:rsidRPr="00327458">
        <w:rPr>
          <w:rFonts w:ascii="Arial" w:hAnsi="Arial" w:cs="Arial"/>
          <w:color w:val="000000" w:themeColor="text1"/>
        </w:rPr>
        <w:t xml:space="preserve"> </w:t>
      </w:r>
      <w:r w:rsidR="006616B0" w:rsidRPr="00327458">
        <w:rPr>
          <w:rFonts w:ascii="Arial" w:hAnsi="Arial" w:cs="Arial"/>
          <w:color w:val="000000" w:themeColor="text1"/>
        </w:rPr>
        <w:t>(3) oraz (4) nastąpił wzrost odsetka w ujęciu rok do roku (2020 vs. 2021), zaś w</w:t>
      </w:r>
      <w:r w:rsidR="00126AD5" w:rsidRPr="00327458">
        <w:rPr>
          <w:rFonts w:ascii="Arial" w:hAnsi="Arial" w:cs="Arial"/>
          <w:color w:val="000000" w:themeColor="text1"/>
        </w:rPr>
        <w:t> </w:t>
      </w:r>
      <w:r w:rsidR="006616B0" w:rsidRPr="00327458">
        <w:rPr>
          <w:rFonts w:ascii="Arial" w:hAnsi="Arial" w:cs="Arial"/>
          <w:color w:val="000000" w:themeColor="text1"/>
        </w:rPr>
        <w:t>przypadku orzeczenia oznaczonego jako (2) w analizowanym okresie nastąpił spadek odsetka</w:t>
      </w:r>
      <w:r w:rsidR="00765C5C" w:rsidRPr="00327458">
        <w:rPr>
          <w:rStyle w:val="Odwoanieprzypisudolnego"/>
          <w:rFonts w:ascii="Arial" w:hAnsi="Arial" w:cs="Arial"/>
          <w:color w:val="000000" w:themeColor="text1"/>
        </w:rPr>
        <w:footnoteReference w:id="21"/>
      </w:r>
      <w:r w:rsidR="00765C5C" w:rsidRPr="00327458">
        <w:rPr>
          <w:rFonts w:ascii="Arial" w:hAnsi="Arial" w:cs="Arial"/>
          <w:color w:val="000000" w:themeColor="text1"/>
        </w:rPr>
        <w:t>.</w:t>
      </w:r>
    </w:p>
    <w:p w:rsidR="007101D1" w:rsidRPr="00327458" w:rsidRDefault="007101D1" w:rsidP="002A0D6F">
      <w:pPr>
        <w:spacing w:after="0" w:line="360" w:lineRule="auto"/>
        <w:ind w:firstLine="708"/>
        <w:rPr>
          <w:rFonts w:ascii="Arial" w:hAnsi="Arial" w:cs="Arial"/>
          <w:color w:val="000000" w:themeColor="text1"/>
        </w:rPr>
      </w:pPr>
      <w:r w:rsidRPr="00327458">
        <w:rPr>
          <w:rFonts w:ascii="Arial" w:hAnsi="Arial" w:cs="Arial"/>
          <w:color w:val="000000" w:themeColor="text1"/>
        </w:rPr>
        <w:t>Dane Zakładu Ubezpieczeń Społecznych dla Polski, pokazują rosnącą (porównując stany za okres styczeń-wrzesień 2021 r. i 2022 r.) liczbę</w:t>
      </w:r>
      <w:r w:rsidR="00274FDB" w:rsidRPr="00327458">
        <w:rPr>
          <w:rFonts w:ascii="Arial" w:hAnsi="Arial" w:cs="Arial"/>
          <w:color w:val="000000" w:themeColor="text1"/>
        </w:rPr>
        <w:t xml:space="preserve"> pobieranych</w:t>
      </w:r>
      <w:r w:rsidR="00783FBE" w:rsidRPr="00327458">
        <w:rPr>
          <w:rFonts w:ascii="Arial" w:hAnsi="Arial" w:cs="Arial"/>
          <w:color w:val="000000" w:themeColor="text1"/>
        </w:rPr>
        <w:t xml:space="preserve"> rent socjalnych</w:t>
      </w:r>
      <w:r w:rsidR="00274FDB" w:rsidRPr="00327458">
        <w:rPr>
          <w:rStyle w:val="Odwoanieprzypisudolnego"/>
          <w:rFonts w:ascii="Arial" w:hAnsi="Arial" w:cs="Arial"/>
          <w:color w:val="000000" w:themeColor="text1"/>
        </w:rPr>
        <w:footnoteReference w:id="22"/>
      </w:r>
      <w:r w:rsidR="00274FDB" w:rsidRPr="00327458">
        <w:rPr>
          <w:rFonts w:ascii="Arial" w:hAnsi="Arial" w:cs="Arial"/>
          <w:color w:val="000000" w:themeColor="text1"/>
        </w:rPr>
        <w:t xml:space="preserve"> (+1,7 tys.; 0,6%), jednak w porównywanym okresie o 1,2 tys. (-1,3%) zmniejszyła się liczba świadczeń rehabilitacyjnych</w:t>
      </w:r>
      <w:r w:rsidR="00274FDB" w:rsidRPr="00327458">
        <w:rPr>
          <w:rStyle w:val="Odwoanieprzypisudolnego"/>
          <w:rFonts w:ascii="Arial" w:hAnsi="Arial" w:cs="Arial"/>
          <w:color w:val="000000" w:themeColor="text1"/>
        </w:rPr>
        <w:footnoteReference w:id="23"/>
      </w:r>
      <w:r w:rsidR="00274FDB" w:rsidRPr="00327458">
        <w:rPr>
          <w:rFonts w:ascii="Arial" w:hAnsi="Arial" w:cs="Arial"/>
          <w:color w:val="000000" w:themeColor="text1"/>
        </w:rPr>
        <w:t xml:space="preserve">. </w:t>
      </w:r>
      <w:r w:rsidR="009547E8" w:rsidRPr="00327458">
        <w:rPr>
          <w:rFonts w:ascii="Arial" w:hAnsi="Arial" w:cs="Arial"/>
          <w:color w:val="000000" w:themeColor="text1"/>
        </w:rPr>
        <w:t>Osoby z niepełnosprawnościami mogą także pobierać świ</w:t>
      </w:r>
      <w:r w:rsidR="007219FE" w:rsidRPr="00327458">
        <w:rPr>
          <w:rFonts w:ascii="Arial" w:hAnsi="Arial" w:cs="Arial"/>
          <w:color w:val="000000" w:themeColor="text1"/>
        </w:rPr>
        <w:t>adczenie uzupełniające dla osób niezdolnych do samodzielnej egzystencji</w:t>
      </w:r>
      <w:r w:rsidR="009547E8" w:rsidRPr="00327458">
        <w:rPr>
          <w:rFonts w:ascii="Arial" w:hAnsi="Arial" w:cs="Arial"/>
          <w:color w:val="000000" w:themeColor="text1"/>
        </w:rPr>
        <w:t xml:space="preserve"> – pod warunkami</w:t>
      </w:r>
      <w:r w:rsidR="0072057C" w:rsidRPr="00327458">
        <w:rPr>
          <w:rFonts w:ascii="Arial" w:hAnsi="Arial" w:cs="Arial"/>
          <w:color w:val="000000" w:themeColor="text1"/>
        </w:rPr>
        <w:t>:</w:t>
      </w:r>
      <w:r w:rsidR="009547E8" w:rsidRPr="00327458">
        <w:rPr>
          <w:rFonts w:ascii="Arial" w:hAnsi="Arial" w:cs="Arial"/>
          <w:color w:val="000000" w:themeColor="text1"/>
        </w:rPr>
        <w:t xml:space="preserve"> ukończenia 18 lat, niezdolności do samodzielnej egzystencji oraz nieposiadania uprawnień do świadczeń, m.in. emerytury, renty, zasiłku stałego, okresowego lub jeśli wartość tych świadczeń nie przekracza kwoty 2157,80zł</w:t>
      </w:r>
      <w:r w:rsidR="0072057C" w:rsidRPr="00327458">
        <w:rPr>
          <w:rStyle w:val="Odwoanieprzypisudolnego"/>
          <w:rFonts w:ascii="Arial" w:hAnsi="Arial" w:cs="Arial"/>
          <w:color w:val="000000" w:themeColor="text1"/>
        </w:rPr>
        <w:footnoteReference w:id="24"/>
      </w:r>
      <w:r w:rsidR="009547E8" w:rsidRPr="00327458">
        <w:rPr>
          <w:rFonts w:ascii="Arial" w:hAnsi="Arial" w:cs="Arial"/>
          <w:color w:val="000000" w:themeColor="text1"/>
        </w:rPr>
        <w:t>. W kraju w okresie I-IX 2022 r. przeciętna liczba osób pobierających to świadczenie wyniosła 388,1 tys.</w:t>
      </w:r>
      <w:r w:rsidR="00D5575D" w:rsidRPr="00327458">
        <w:rPr>
          <w:rFonts w:ascii="Arial" w:hAnsi="Arial" w:cs="Arial"/>
          <w:color w:val="000000" w:themeColor="text1"/>
        </w:rPr>
        <w:t xml:space="preserve"> – było to o 1,4 tys. więcej niż w tożsamym okresie 2021 r.</w:t>
      </w:r>
      <w:r w:rsidR="00D5575D" w:rsidRPr="00327458">
        <w:rPr>
          <w:rStyle w:val="Odwoanieprzypisudolnego"/>
          <w:rFonts w:ascii="Arial" w:hAnsi="Arial" w:cs="Arial"/>
          <w:color w:val="000000" w:themeColor="text1"/>
        </w:rPr>
        <w:footnoteReference w:id="25"/>
      </w:r>
      <w:r w:rsidR="00D5575D" w:rsidRPr="00327458">
        <w:rPr>
          <w:rFonts w:ascii="Arial" w:hAnsi="Arial" w:cs="Arial"/>
          <w:color w:val="000000" w:themeColor="text1"/>
        </w:rPr>
        <w:t>.</w:t>
      </w:r>
      <w:r w:rsidR="002A0D6F">
        <w:rPr>
          <w:rFonts w:ascii="Arial" w:hAnsi="Arial" w:cs="Arial"/>
          <w:color w:val="000000" w:themeColor="text1"/>
        </w:rPr>
        <w:t xml:space="preserve"> </w:t>
      </w:r>
      <w:r w:rsidR="00274FDB" w:rsidRPr="00327458">
        <w:rPr>
          <w:rFonts w:ascii="Arial" w:hAnsi="Arial" w:cs="Arial"/>
          <w:color w:val="000000" w:themeColor="text1"/>
        </w:rPr>
        <w:t>Z</w:t>
      </w:r>
      <w:r w:rsidRPr="00327458">
        <w:rPr>
          <w:rFonts w:ascii="Arial" w:hAnsi="Arial" w:cs="Arial"/>
          <w:color w:val="000000" w:themeColor="text1"/>
        </w:rPr>
        <w:t>atem</w:t>
      </w:r>
      <w:r w:rsidR="00091B03" w:rsidRPr="00327458">
        <w:rPr>
          <w:rFonts w:ascii="Arial" w:hAnsi="Arial" w:cs="Arial"/>
          <w:color w:val="000000" w:themeColor="text1"/>
        </w:rPr>
        <w:t>,</w:t>
      </w:r>
      <w:r w:rsidRPr="00327458">
        <w:rPr>
          <w:rFonts w:ascii="Arial" w:hAnsi="Arial" w:cs="Arial"/>
          <w:color w:val="000000" w:themeColor="text1"/>
        </w:rPr>
        <w:t xml:space="preserve"> choć liczba świadczeń z pomocy społecznej z tytułu niepełnosprawności oraz długotrwałej lub ciężkiej choroby zmniejsza się (m.in. ze</w:t>
      </w:r>
      <w:r w:rsidR="00EF74B1">
        <w:rPr>
          <w:rFonts w:ascii="Arial" w:hAnsi="Arial" w:cs="Arial"/>
          <w:color w:val="000000" w:themeColor="text1"/>
        </w:rPr>
        <w:t> </w:t>
      </w:r>
      <w:r w:rsidRPr="00327458">
        <w:rPr>
          <w:rFonts w:ascii="Arial" w:hAnsi="Arial" w:cs="Arial"/>
          <w:color w:val="000000" w:themeColor="text1"/>
        </w:rPr>
        <w:t xml:space="preserve">względu na wyższe wartości bazowe spowodowane sytuacją pandemiczną), dane ZUS </w:t>
      </w:r>
      <w:r w:rsidR="00274FDB" w:rsidRPr="00327458">
        <w:rPr>
          <w:rFonts w:ascii="Arial" w:hAnsi="Arial" w:cs="Arial"/>
          <w:color w:val="000000" w:themeColor="text1"/>
        </w:rPr>
        <w:t>sygnalizują</w:t>
      </w:r>
      <w:r w:rsidRPr="00327458">
        <w:rPr>
          <w:rFonts w:ascii="Arial" w:hAnsi="Arial" w:cs="Arial"/>
          <w:color w:val="000000" w:themeColor="text1"/>
        </w:rPr>
        <w:t xml:space="preserve"> sytuację przeciwną.</w:t>
      </w:r>
    </w:p>
    <w:p w:rsidR="00CF7D30" w:rsidRPr="00327458" w:rsidRDefault="00B52309" w:rsidP="00CF7D30">
      <w:pPr>
        <w:pStyle w:val="Tekstkomentarza"/>
        <w:spacing w:after="0" w:line="360" w:lineRule="auto"/>
        <w:ind w:firstLine="709"/>
        <w:rPr>
          <w:rFonts w:ascii="Arial" w:hAnsi="Arial" w:cs="Arial"/>
          <w:color w:val="000000" w:themeColor="text1"/>
          <w:sz w:val="22"/>
          <w:szCs w:val="22"/>
        </w:rPr>
      </w:pPr>
      <w:r w:rsidRPr="00327458">
        <w:rPr>
          <w:rFonts w:ascii="Arial" w:hAnsi="Arial" w:cs="Arial"/>
          <w:color w:val="000000" w:themeColor="text1"/>
          <w:sz w:val="22"/>
          <w:szCs w:val="22"/>
        </w:rPr>
        <w:t>Osoby z niepełnosprawnościami są jedną z grup odbiorców wsparci</w:t>
      </w:r>
      <w:r w:rsidR="009E5BE1" w:rsidRPr="00327458">
        <w:rPr>
          <w:rFonts w:ascii="Arial" w:hAnsi="Arial" w:cs="Arial"/>
          <w:color w:val="000000" w:themeColor="text1"/>
          <w:sz w:val="22"/>
          <w:szCs w:val="22"/>
        </w:rPr>
        <w:t>a</w:t>
      </w:r>
      <w:r w:rsidRPr="00327458">
        <w:rPr>
          <w:rFonts w:ascii="Arial" w:hAnsi="Arial" w:cs="Arial"/>
          <w:color w:val="000000" w:themeColor="text1"/>
          <w:sz w:val="22"/>
          <w:szCs w:val="22"/>
        </w:rPr>
        <w:t xml:space="preserve"> w formie mieszkań chronionych</w:t>
      </w:r>
      <w:r w:rsidR="0079432B" w:rsidRPr="00327458">
        <w:rPr>
          <w:rFonts w:ascii="Arial" w:hAnsi="Arial" w:cs="Arial"/>
          <w:color w:val="000000" w:themeColor="text1"/>
          <w:sz w:val="22"/>
          <w:szCs w:val="22"/>
        </w:rPr>
        <w:t xml:space="preserve"> (treningowych, wspieranych</w:t>
      </w:r>
      <w:r w:rsidR="00D83549" w:rsidRPr="00327458">
        <w:rPr>
          <w:rStyle w:val="Odwoanieprzypisudolnego"/>
          <w:rFonts w:ascii="Arial" w:hAnsi="Arial" w:cs="Arial"/>
          <w:color w:val="000000" w:themeColor="text1"/>
          <w:sz w:val="22"/>
          <w:szCs w:val="22"/>
        </w:rPr>
        <w:footnoteReference w:id="26"/>
      </w:r>
      <w:r w:rsidR="0079432B" w:rsidRPr="00327458">
        <w:rPr>
          <w:rFonts w:ascii="Arial" w:hAnsi="Arial" w:cs="Arial"/>
          <w:color w:val="000000" w:themeColor="text1"/>
          <w:sz w:val="22"/>
          <w:szCs w:val="22"/>
        </w:rPr>
        <w:t>)</w:t>
      </w:r>
      <w:r w:rsidRPr="00327458">
        <w:rPr>
          <w:rFonts w:ascii="Arial" w:hAnsi="Arial" w:cs="Arial"/>
          <w:color w:val="000000" w:themeColor="text1"/>
          <w:sz w:val="22"/>
          <w:szCs w:val="22"/>
        </w:rPr>
        <w:t>.</w:t>
      </w:r>
      <w:r w:rsidR="0079432B" w:rsidRPr="00327458">
        <w:rPr>
          <w:rFonts w:ascii="Arial" w:hAnsi="Arial" w:cs="Arial"/>
          <w:color w:val="000000" w:themeColor="text1"/>
          <w:sz w:val="22"/>
          <w:szCs w:val="22"/>
        </w:rPr>
        <w:t xml:space="preserve"> </w:t>
      </w:r>
      <w:r w:rsidRPr="00327458">
        <w:rPr>
          <w:rFonts w:ascii="Arial" w:hAnsi="Arial" w:cs="Arial"/>
          <w:color w:val="000000" w:themeColor="text1"/>
          <w:sz w:val="22"/>
          <w:szCs w:val="22"/>
        </w:rPr>
        <w:t>W 2021 r. w</w:t>
      </w:r>
      <w:r w:rsidR="00E51F38" w:rsidRPr="00327458">
        <w:rPr>
          <w:rFonts w:ascii="Arial" w:hAnsi="Arial" w:cs="Arial"/>
          <w:color w:val="000000" w:themeColor="text1"/>
          <w:sz w:val="22"/>
          <w:szCs w:val="22"/>
        </w:rPr>
        <w:t> </w:t>
      </w:r>
      <w:r w:rsidRPr="00327458">
        <w:rPr>
          <w:rFonts w:ascii="Arial" w:hAnsi="Arial" w:cs="Arial"/>
          <w:color w:val="000000" w:themeColor="text1"/>
          <w:sz w:val="22"/>
          <w:szCs w:val="22"/>
        </w:rPr>
        <w:t xml:space="preserve">stosunku do 2020 r. </w:t>
      </w:r>
      <w:r w:rsidR="00D45ABE" w:rsidRPr="00327458">
        <w:rPr>
          <w:rFonts w:ascii="Arial" w:hAnsi="Arial" w:cs="Arial"/>
          <w:color w:val="000000" w:themeColor="text1"/>
          <w:sz w:val="22"/>
          <w:szCs w:val="22"/>
        </w:rPr>
        <w:t xml:space="preserve">liczba mieszkań treningowych zmniejszyła się </w:t>
      </w:r>
      <w:r w:rsidRPr="00327458">
        <w:rPr>
          <w:rFonts w:ascii="Arial" w:hAnsi="Arial" w:cs="Arial"/>
          <w:color w:val="000000" w:themeColor="text1"/>
          <w:sz w:val="22"/>
          <w:szCs w:val="22"/>
        </w:rPr>
        <w:t xml:space="preserve">o 3 (-9,4%), </w:t>
      </w:r>
      <w:r w:rsidR="00EF74B1">
        <w:rPr>
          <w:rFonts w:ascii="Arial" w:hAnsi="Arial" w:cs="Arial"/>
          <w:color w:val="000000" w:themeColor="text1"/>
          <w:sz w:val="22"/>
          <w:szCs w:val="22"/>
        </w:rPr>
        <w:t>zaś</w:t>
      </w:r>
      <w:r w:rsidRPr="00327458">
        <w:rPr>
          <w:rFonts w:ascii="Arial" w:hAnsi="Arial" w:cs="Arial"/>
          <w:color w:val="000000" w:themeColor="text1"/>
          <w:sz w:val="22"/>
          <w:szCs w:val="22"/>
        </w:rPr>
        <w:t xml:space="preserve"> liczba osób korzystających do</w:t>
      </w:r>
      <w:r w:rsidR="00D45ABE">
        <w:rPr>
          <w:rFonts w:ascii="Arial" w:hAnsi="Arial" w:cs="Arial"/>
          <w:color w:val="000000" w:themeColor="text1"/>
          <w:sz w:val="22"/>
          <w:szCs w:val="22"/>
        </w:rPr>
        <w:t> </w:t>
      </w:r>
      <w:r w:rsidRPr="00327458">
        <w:rPr>
          <w:rFonts w:ascii="Arial" w:hAnsi="Arial" w:cs="Arial"/>
          <w:color w:val="000000" w:themeColor="text1"/>
          <w:sz w:val="22"/>
          <w:szCs w:val="22"/>
        </w:rPr>
        <w:t>127 (</w:t>
      </w:r>
      <w:r w:rsidR="00EF74B1">
        <w:rPr>
          <w:rFonts w:ascii="Arial" w:hAnsi="Arial" w:cs="Arial"/>
          <w:color w:val="000000" w:themeColor="text1"/>
          <w:sz w:val="22"/>
          <w:szCs w:val="22"/>
        </w:rPr>
        <w:t>-</w:t>
      </w:r>
      <w:r w:rsidRPr="00327458">
        <w:rPr>
          <w:rFonts w:ascii="Arial" w:hAnsi="Arial" w:cs="Arial"/>
          <w:color w:val="000000" w:themeColor="text1"/>
          <w:sz w:val="22"/>
          <w:szCs w:val="22"/>
        </w:rPr>
        <w:t xml:space="preserve">0,8% r/r). Zwiększyła się natomiast liczba mieszkań wspieranych – o 3 (+10,3% r/r), </w:t>
      </w:r>
      <w:r w:rsidR="00D45ABE">
        <w:rPr>
          <w:rFonts w:ascii="Arial" w:hAnsi="Arial" w:cs="Arial"/>
          <w:color w:val="000000" w:themeColor="text1"/>
          <w:sz w:val="22"/>
          <w:szCs w:val="22"/>
        </w:rPr>
        <w:t>a</w:t>
      </w:r>
      <w:r w:rsidRPr="00327458">
        <w:rPr>
          <w:rFonts w:ascii="Arial" w:hAnsi="Arial" w:cs="Arial"/>
          <w:color w:val="000000" w:themeColor="text1"/>
          <w:sz w:val="22"/>
          <w:szCs w:val="22"/>
        </w:rPr>
        <w:t xml:space="preserve"> liczba osób korzystających wzrosła do 109 (+3,8% r/r)</w:t>
      </w:r>
      <w:r w:rsidR="00334D70" w:rsidRPr="00327458">
        <w:rPr>
          <w:rStyle w:val="Odwoanieprzypisudolnego"/>
          <w:rFonts w:ascii="Arial" w:hAnsi="Arial" w:cs="Arial"/>
          <w:color w:val="000000" w:themeColor="text1"/>
          <w:sz w:val="22"/>
          <w:szCs w:val="22"/>
        </w:rPr>
        <w:footnoteReference w:id="27"/>
      </w:r>
      <w:r w:rsidRPr="00327458">
        <w:rPr>
          <w:rFonts w:ascii="Arial" w:hAnsi="Arial" w:cs="Arial"/>
          <w:color w:val="000000" w:themeColor="text1"/>
          <w:sz w:val="22"/>
          <w:szCs w:val="22"/>
        </w:rPr>
        <w:t>.</w:t>
      </w:r>
      <w:r w:rsidR="00CF7D30" w:rsidRPr="00327458">
        <w:rPr>
          <w:rFonts w:ascii="Arial" w:hAnsi="Arial" w:cs="Arial"/>
          <w:color w:val="000000" w:themeColor="text1"/>
          <w:sz w:val="22"/>
          <w:szCs w:val="22"/>
        </w:rPr>
        <w:t xml:space="preserve"> Rozwój różnych form mieszkalnictwa umożliwiającego </w:t>
      </w:r>
      <w:r w:rsidR="00D45ABE">
        <w:rPr>
          <w:rFonts w:ascii="Arial" w:hAnsi="Arial" w:cs="Arial"/>
          <w:color w:val="000000" w:themeColor="text1"/>
          <w:sz w:val="22"/>
          <w:szCs w:val="22"/>
        </w:rPr>
        <w:t>maksymalnie niezależne</w:t>
      </w:r>
      <w:r w:rsidR="00CF7D30" w:rsidRPr="00327458">
        <w:rPr>
          <w:rFonts w:ascii="Arial" w:hAnsi="Arial" w:cs="Arial"/>
          <w:color w:val="000000" w:themeColor="text1"/>
          <w:sz w:val="22"/>
          <w:szCs w:val="22"/>
        </w:rPr>
        <w:t xml:space="preserve"> życie osób z</w:t>
      </w:r>
      <w:r w:rsidR="004A525E">
        <w:rPr>
          <w:rFonts w:ascii="Arial" w:hAnsi="Arial" w:cs="Arial"/>
          <w:color w:val="000000" w:themeColor="text1"/>
          <w:sz w:val="22"/>
          <w:szCs w:val="22"/>
        </w:rPr>
        <w:t> </w:t>
      </w:r>
      <w:r w:rsidR="00CF7D30" w:rsidRPr="00327458">
        <w:rPr>
          <w:rFonts w:ascii="Arial" w:hAnsi="Arial" w:cs="Arial"/>
          <w:color w:val="000000" w:themeColor="text1"/>
          <w:sz w:val="22"/>
          <w:szCs w:val="22"/>
        </w:rPr>
        <w:t>niepełnosprawnościami wraz ze</w:t>
      </w:r>
      <w:r w:rsidR="00EF74B1">
        <w:rPr>
          <w:rFonts w:ascii="Arial" w:hAnsi="Arial" w:cs="Arial"/>
          <w:color w:val="000000" w:themeColor="text1"/>
          <w:sz w:val="22"/>
          <w:szCs w:val="22"/>
        </w:rPr>
        <w:t> </w:t>
      </w:r>
      <w:r w:rsidR="00CF7D30" w:rsidRPr="00327458">
        <w:rPr>
          <w:rFonts w:ascii="Arial" w:hAnsi="Arial" w:cs="Arial"/>
          <w:color w:val="000000" w:themeColor="text1"/>
          <w:sz w:val="22"/>
          <w:szCs w:val="22"/>
        </w:rPr>
        <w:t xml:space="preserve">wsparciem w formie usług adekwatnych do ich potrzeb </w:t>
      </w:r>
      <w:r w:rsidR="00CF7D30" w:rsidRPr="00327458">
        <w:rPr>
          <w:rFonts w:ascii="Arial" w:hAnsi="Arial" w:cs="Arial"/>
          <w:color w:val="000000" w:themeColor="text1"/>
          <w:sz w:val="22"/>
          <w:szCs w:val="22"/>
        </w:rPr>
        <w:lastRenderedPageBreak/>
        <w:t>wychodzi naprzeciw deinstytucjonalizacji usług społecznych oraz jest alternatywą d</w:t>
      </w:r>
      <w:r w:rsidR="00FF481B">
        <w:rPr>
          <w:rFonts w:ascii="Arial" w:hAnsi="Arial" w:cs="Arial"/>
          <w:color w:val="000000" w:themeColor="text1"/>
          <w:sz w:val="22"/>
          <w:szCs w:val="22"/>
        </w:rPr>
        <w:t>la </w:t>
      </w:r>
      <w:r w:rsidR="00CF7D30" w:rsidRPr="00327458">
        <w:rPr>
          <w:rFonts w:ascii="Arial" w:hAnsi="Arial" w:cs="Arial"/>
          <w:color w:val="000000" w:themeColor="text1"/>
          <w:sz w:val="22"/>
          <w:szCs w:val="22"/>
        </w:rPr>
        <w:t>wsparcia w domach pomocy społecznej.</w:t>
      </w:r>
    </w:p>
    <w:p w:rsidR="003744F8" w:rsidRPr="00327458" w:rsidRDefault="00054EDF" w:rsidP="00CF7D30">
      <w:pPr>
        <w:spacing w:after="0" w:line="360" w:lineRule="auto"/>
        <w:ind w:firstLine="709"/>
        <w:rPr>
          <w:rFonts w:ascii="Arial" w:hAnsi="Arial" w:cs="Arial"/>
          <w:color w:val="000000" w:themeColor="text1"/>
        </w:rPr>
      </w:pPr>
      <w:r w:rsidRPr="00327458">
        <w:rPr>
          <w:rFonts w:ascii="Arial" w:hAnsi="Arial" w:cs="Arial"/>
          <w:color w:val="000000" w:themeColor="text1"/>
        </w:rPr>
        <w:t>Istotnie rozwija się usługa asystencji osobistej osób z niepełnosprawnościami, stanowiąca znaczący wkład w realizację zapisów Konwencji ONZ o prawach osób niepełnosprawnych (w szczególności art. 1</w:t>
      </w:r>
      <w:r w:rsidR="00DE3918" w:rsidRPr="00327458">
        <w:rPr>
          <w:rFonts w:ascii="Arial" w:hAnsi="Arial" w:cs="Arial"/>
          <w:color w:val="000000" w:themeColor="text1"/>
        </w:rPr>
        <w:t>9</w:t>
      </w:r>
      <w:r w:rsidRPr="00327458">
        <w:rPr>
          <w:rFonts w:ascii="Arial" w:hAnsi="Arial" w:cs="Arial"/>
          <w:color w:val="000000" w:themeColor="text1"/>
        </w:rPr>
        <w:t xml:space="preserve"> – niezależne życie i włączenie w</w:t>
      </w:r>
      <w:r w:rsidR="00E51F38" w:rsidRPr="00327458">
        <w:rPr>
          <w:rFonts w:ascii="Arial" w:hAnsi="Arial" w:cs="Arial"/>
          <w:color w:val="000000" w:themeColor="text1"/>
        </w:rPr>
        <w:t> </w:t>
      </w:r>
      <w:r w:rsidRPr="00327458">
        <w:rPr>
          <w:rFonts w:ascii="Arial" w:hAnsi="Arial" w:cs="Arial"/>
          <w:color w:val="000000" w:themeColor="text1"/>
        </w:rPr>
        <w:t>społeczeństwo). Rokrocznie rośnie pula środków przeznaczanych na realizację zadań w</w:t>
      </w:r>
      <w:r w:rsidR="00E51F38" w:rsidRPr="00327458">
        <w:rPr>
          <w:rFonts w:ascii="Arial" w:hAnsi="Arial" w:cs="Arial"/>
          <w:color w:val="000000" w:themeColor="text1"/>
        </w:rPr>
        <w:t> </w:t>
      </w:r>
      <w:r w:rsidRPr="00327458">
        <w:rPr>
          <w:rFonts w:ascii="Arial" w:hAnsi="Arial" w:cs="Arial"/>
          <w:color w:val="000000" w:themeColor="text1"/>
        </w:rPr>
        <w:t>tym zakresie (w 2021 r. w stosunku do 2020 r. ogółem wzrost o 17,5%, natomiast w</w:t>
      </w:r>
      <w:r w:rsidR="00E51F38" w:rsidRPr="00327458">
        <w:rPr>
          <w:rFonts w:ascii="Arial" w:hAnsi="Arial" w:cs="Arial"/>
          <w:color w:val="000000" w:themeColor="text1"/>
        </w:rPr>
        <w:t> </w:t>
      </w:r>
      <w:r w:rsidRPr="00327458">
        <w:rPr>
          <w:rFonts w:ascii="Arial" w:hAnsi="Arial" w:cs="Arial"/>
          <w:color w:val="000000" w:themeColor="text1"/>
        </w:rPr>
        <w:t>perspektywie 2022-2021 o 334,4%</w:t>
      </w:r>
      <w:r w:rsidRPr="00327458">
        <w:rPr>
          <w:rStyle w:val="Odwoanieprzypisudolnego"/>
          <w:rFonts w:ascii="Arial" w:hAnsi="Arial" w:cs="Arial"/>
          <w:color w:val="000000" w:themeColor="text1"/>
        </w:rPr>
        <w:footnoteReference w:id="28"/>
      </w:r>
      <w:r w:rsidRPr="00327458">
        <w:rPr>
          <w:rFonts w:ascii="Arial" w:hAnsi="Arial" w:cs="Arial"/>
          <w:color w:val="000000" w:themeColor="text1"/>
        </w:rPr>
        <w:t>).</w:t>
      </w:r>
    </w:p>
    <w:p w:rsidR="00AA6025" w:rsidRPr="00327458" w:rsidRDefault="003744F8" w:rsidP="00AB6398">
      <w:pPr>
        <w:spacing w:after="0" w:line="360" w:lineRule="auto"/>
        <w:ind w:firstLine="708"/>
        <w:rPr>
          <w:rFonts w:ascii="Arial" w:hAnsi="Arial" w:cs="Arial"/>
          <w:color w:val="000000" w:themeColor="text1"/>
        </w:rPr>
      </w:pPr>
      <w:r w:rsidRPr="00327458">
        <w:rPr>
          <w:rFonts w:ascii="Arial" w:hAnsi="Arial" w:cs="Arial"/>
          <w:color w:val="000000" w:themeColor="text1"/>
        </w:rPr>
        <w:t>Rośnie także znaczenie</w:t>
      </w:r>
      <w:r w:rsidR="00786520" w:rsidRPr="00327458">
        <w:rPr>
          <w:rFonts w:ascii="Arial" w:hAnsi="Arial" w:cs="Arial"/>
          <w:color w:val="000000" w:themeColor="text1"/>
        </w:rPr>
        <w:t xml:space="preserve"> wsparci</w:t>
      </w:r>
      <w:r w:rsidRPr="00327458">
        <w:rPr>
          <w:rFonts w:ascii="Arial" w:hAnsi="Arial" w:cs="Arial"/>
          <w:color w:val="000000" w:themeColor="text1"/>
        </w:rPr>
        <w:t>a</w:t>
      </w:r>
      <w:r w:rsidR="00786520" w:rsidRPr="00327458">
        <w:rPr>
          <w:rFonts w:ascii="Arial" w:hAnsi="Arial" w:cs="Arial"/>
          <w:color w:val="000000" w:themeColor="text1"/>
        </w:rPr>
        <w:t xml:space="preserve"> w ramach programu „Opieka Wytchnieniowa”</w:t>
      </w:r>
      <w:r w:rsidR="003E074F" w:rsidRPr="00327458">
        <w:rPr>
          <w:rFonts w:ascii="Arial" w:hAnsi="Arial" w:cs="Arial"/>
          <w:color w:val="000000" w:themeColor="text1"/>
        </w:rPr>
        <w:t xml:space="preserve">, którego celem jest odciążenie </w:t>
      </w:r>
      <w:r w:rsidR="002625D3" w:rsidRPr="00327458">
        <w:rPr>
          <w:rFonts w:ascii="Arial" w:hAnsi="Arial" w:cs="Arial"/>
          <w:color w:val="000000" w:themeColor="text1"/>
        </w:rPr>
        <w:t>członków rodzin lub opiekunów dzieci z orzeczeniem o stopniu niepełnosprawności oraz osób ze znacznym stopniem niepełnosprawności w realizacji opieki nad tymi osobami. W 2020 r.</w:t>
      </w:r>
      <w:r w:rsidR="00F00F1F" w:rsidRPr="00327458">
        <w:rPr>
          <w:rFonts w:ascii="Arial" w:hAnsi="Arial" w:cs="Arial"/>
          <w:color w:val="000000" w:themeColor="text1"/>
        </w:rPr>
        <w:t xml:space="preserve"> ogółem</w:t>
      </w:r>
      <w:r w:rsidR="002625D3" w:rsidRPr="00327458">
        <w:rPr>
          <w:rFonts w:ascii="Arial" w:hAnsi="Arial" w:cs="Arial"/>
          <w:color w:val="000000" w:themeColor="text1"/>
        </w:rPr>
        <w:t xml:space="preserve"> na ten cel </w:t>
      </w:r>
      <w:r w:rsidR="00EF54A2" w:rsidRPr="00327458">
        <w:rPr>
          <w:rFonts w:ascii="Arial" w:hAnsi="Arial" w:cs="Arial"/>
          <w:color w:val="000000" w:themeColor="text1"/>
        </w:rPr>
        <w:t>wydano</w:t>
      </w:r>
      <w:r w:rsidR="002625D3" w:rsidRPr="00327458">
        <w:rPr>
          <w:rFonts w:ascii="Arial" w:hAnsi="Arial" w:cs="Arial"/>
          <w:color w:val="000000" w:themeColor="text1"/>
        </w:rPr>
        <w:t xml:space="preserve"> </w:t>
      </w:r>
      <w:r w:rsidR="00F00F1F" w:rsidRPr="00327458">
        <w:rPr>
          <w:rFonts w:ascii="Arial" w:hAnsi="Arial" w:cs="Arial"/>
          <w:color w:val="000000" w:themeColor="text1"/>
        </w:rPr>
        <w:t xml:space="preserve">4,6 mln zł, w 2021 r. 4,5 mln (-0,9% r/r), natomiast w 2022 r. </w:t>
      </w:r>
      <w:r w:rsidR="000246D2" w:rsidRPr="00327458">
        <w:rPr>
          <w:rFonts w:ascii="Arial" w:hAnsi="Arial" w:cs="Arial"/>
          <w:color w:val="000000" w:themeColor="text1"/>
        </w:rPr>
        <w:t>przeznaczono</w:t>
      </w:r>
      <w:r w:rsidR="00F00F1F" w:rsidRPr="00327458">
        <w:rPr>
          <w:rFonts w:ascii="Arial" w:hAnsi="Arial" w:cs="Arial"/>
          <w:color w:val="000000" w:themeColor="text1"/>
        </w:rPr>
        <w:t xml:space="preserve"> na ten cel ponad 10 mln zł – o </w:t>
      </w:r>
      <w:r w:rsidR="00635494" w:rsidRPr="00327458">
        <w:rPr>
          <w:rFonts w:ascii="Arial" w:hAnsi="Arial" w:cs="Arial"/>
          <w:color w:val="000000" w:themeColor="text1"/>
        </w:rPr>
        <w:t>127,8</w:t>
      </w:r>
      <w:r w:rsidR="00F00F1F" w:rsidRPr="00327458">
        <w:rPr>
          <w:rFonts w:ascii="Arial" w:hAnsi="Arial" w:cs="Arial"/>
          <w:color w:val="000000" w:themeColor="text1"/>
        </w:rPr>
        <w:t>%</w:t>
      </w:r>
      <w:r w:rsidR="00D02B44" w:rsidRPr="00327458">
        <w:rPr>
          <w:rFonts w:ascii="Arial" w:hAnsi="Arial" w:cs="Arial"/>
          <w:color w:val="000000" w:themeColor="text1"/>
        </w:rPr>
        <w:t xml:space="preserve"> więcej w</w:t>
      </w:r>
      <w:r w:rsidR="00E51F38" w:rsidRPr="00327458">
        <w:rPr>
          <w:rFonts w:ascii="Arial" w:hAnsi="Arial" w:cs="Arial"/>
          <w:color w:val="000000" w:themeColor="text1"/>
        </w:rPr>
        <w:t> </w:t>
      </w:r>
      <w:r w:rsidR="00D02B44" w:rsidRPr="00327458">
        <w:rPr>
          <w:rFonts w:ascii="Arial" w:hAnsi="Arial" w:cs="Arial"/>
          <w:color w:val="000000" w:themeColor="text1"/>
        </w:rPr>
        <w:t>ujęciu</w:t>
      </w:r>
      <w:r w:rsidR="00F00F1F" w:rsidRPr="00327458">
        <w:rPr>
          <w:rFonts w:ascii="Arial" w:hAnsi="Arial" w:cs="Arial"/>
          <w:color w:val="000000" w:themeColor="text1"/>
        </w:rPr>
        <w:t xml:space="preserve"> r/r</w:t>
      </w:r>
      <w:r w:rsidR="0040318B" w:rsidRPr="00327458">
        <w:rPr>
          <w:rStyle w:val="Odwoanieprzypisudolnego"/>
          <w:rFonts w:ascii="Arial" w:hAnsi="Arial" w:cs="Arial"/>
          <w:color w:val="000000" w:themeColor="text1"/>
        </w:rPr>
        <w:footnoteReference w:id="29"/>
      </w:r>
      <w:r w:rsidR="00F00F1F" w:rsidRPr="00327458">
        <w:rPr>
          <w:rFonts w:ascii="Arial" w:hAnsi="Arial" w:cs="Arial"/>
          <w:color w:val="000000" w:themeColor="text1"/>
        </w:rPr>
        <w:t>.</w:t>
      </w:r>
    </w:p>
    <w:p w:rsidR="00CA7C36" w:rsidRPr="00327458" w:rsidRDefault="00D87049" w:rsidP="00126AD5">
      <w:pPr>
        <w:spacing w:line="360" w:lineRule="auto"/>
        <w:ind w:firstLine="708"/>
        <w:rPr>
          <w:rFonts w:ascii="Arial" w:hAnsi="Arial" w:cs="Arial"/>
          <w:color w:val="000000" w:themeColor="text1"/>
        </w:rPr>
      </w:pPr>
      <w:r w:rsidRPr="00327458">
        <w:rPr>
          <w:rFonts w:ascii="Arial" w:hAnsi="Arial" w:cs="Arial"/>
          <w:color w:val="000000" w:themeColor="text1"/>
        </w:rPr>
        <w:t>Stan placówek oferujących wsparcie osobom z niepełnosprawnościami oceniono jako dobry. Problematyczna pozostaje kwestia formy wsparcia – dominuje finansowe, a tylko niewielki odsetek osób z niepełnosprawnościami może korzystać z usług aktywizacyjnych. Wśród rekomendacji wskazano m.in. wspieranie rodzin osób z niepełnosprawnościami w</w:t>
      </w:r>
      <w:r w:rsidR="00E51F38" w:rsidRPr="00327458">
        <w:rPr>
          <w:rFonts w:ascii="Arial" w:hAnsi="Arial" w:cs="Arial"/>
          <w:color w:val="000000" w:themeColor="text1"/>
        </w:rPr>
        <w:t> </w:t>
      </w:r>
      <w:r w:rsidRPr="00327458">
        <w:rPr>
          <w:rFonts w:ascii="Arial" w:hAnsi="Arial" w:cs="Arial"/>
          <w:color w:val="000000" w:themeColor="text1"/>
        </w:rPr>
        <w:t xml:space="preserve">zakresie odciążenia </w:t>
      </w:r>
      <w:r w:rsidR="005337C0" w:rsidRPr="00327458">
        <w:rPr>
          <w:rFonts w:ascii="Arial" w:hAnsi="Arial" w:cs="Arial"/>
          <w:color w:val="000000" w:themeColor="text1"/>
        </w:rPr>
        <w:t xml:space="preserve">ich w </w:t>
      </w:r>
      <w:r w:rsidR="00886FB3" w:rsidRPr="00327458">
        <w:rPr>
          <w:rFonts w:ascii="Arial" w:hAnsi="Arial" w:cs="Arial"/>
          <w:color w:val="000000" w:themeColor="text1"/>
        </w:rPr>
        <w:t>opiece</w:t>
      </w:r>
      <w:r w:rsidR="009D27F2" w:rsidRPr="00327458">
        <w:rPr>
          <w:rFonts w:ascii="Arial" w:hAnsi="Arial" w:cs="Arial"/>
          <w:color w:val="000000" w:themeColor="text1"/>
        </w:rPr>
        <w:t xml:space="preserve"> nad tymi osobami</w:t>
      </w:r>
      <w:r w:rsidR="005337C0" w:rsidRPr="00327458">
        <w:rPr>
          <w:rFonts w:ascii="Arial" w:hAnsi="Arial" w:cs="Arial"/>
          <w:color w:val="000000" w:themeColor="text1"/>
        </w:rPr>
        <w:t>,</w:t>
      </w:r>
      <w:r w:rsidRPr="00327458">
        <w:rPr>
          <w:rFonts w:ascii="Arial" w:hAnsi="Arial" w:cs="Arial"/>
          <w:color w:val="000000" w:themeColor="text1"/>
        </w:rPr>
        <w:t xml:space="preserve"> stosowanie indywidualnego podejścia opartego na jednostkowych potrzebach osoby z niepełnosprawnością</w:t>
      </w:r>
      <w:r w:rsidRPr="00327458">
        <w:rPr>
          <w:rStyle w:val="Odwoanieprzypisudolnego"/>
          <w:rFonts w:ascii="Arial" w:hAnsi="Arial" w:cs="Arial"/>
          <w:color w:val="000000" w:themeColor="text1"/>
        </w:rPr>
        <w:footnoteReference w:id="30"/>
      </w:r>
      <w:r w:rsidR="00C31E08" w:rsidRPr="00327458">
        <w:rPr>
          <w:rFonts w:ascii="Arial" w:hAnsi="Arial" w:cs="Arial"/>
          <w:color w:val="000000" w:themeColor="text1"/>
        </w:rPr>
        <w:t>. Istotną rolę odgrywa również</w:t>
      </w:r>
      <w:r w:rsidR="005337C0" w:rsidRPr="00327458">
        <w:rPr>
          <w:rFonts w:ascii="Arial" w:hAnsi="Arial" w:cs="Arial"/>
          <w:color w:val="000000" w:themeColor="text1"/>
        </w:rPr>
        <w:t xml:space="preserve"> systemowy rozwój asystencji osobistej</w:t>
      </w:r>
      <w:r w:rsidRPr="00327458">
        <w:rPr>
          <w:rFonts w:ascii="Arial" w:hAnsi="Arial" w:cs="Arial"/>
          <w:color w:val="000000" w:themeColor="text1"/>
        </w:rPr>
        <w:t>.</w:t>
      </w:r>
    </w:p>
    <w:p w:rsidR="00310EA7" w:rsidRPr="00327458" w:rsidRDefault="00310EA7" w:rsidP="00AF44EB">
      <w:pPr>
        <w:pStyle w:val="Nagwek3"/>
        <w:spacing w:before="100" w:beforeAutospacing="1" w:after="100" w:afterAutospacing="1"/>
        <w:rPr>
          <w:rFonts w:cs="Arial"/>
          <w:color w:val="000000" w:themeColor="text1"/>
        </w:rPr>
      </w:pPr>
      <w:r w:rsidRPr="00327458">
        <w:rPr>
          <w:rFonts w:cs="Arial"/>
          <w:color w:val="000000" w:themeColor="text1"/>
        </w:rPr>
        <w:t>Wnioski</w:t>
      </w:r>
    </w:p>
    <w:p w:rsidR="002052F9" w:rsidRPr="00327458" w:rsidRDefault="00F25BFB" w:rsidP="00BD5917">
      <w:pPr>
        <w:spacing w:after="0" w:line="360" w:lineRule="auto"/>
        <w:rPr>
          <w:rFonts w:ascii="Arial" w:hAnsi="Arial" w:cs="Arial"/>
          <w:color w:val="000000" w:themeColor="text1"/>
        </w:rPr>
      </w:pPr>
      <w:r w:rsidRPr="00327458">
        <w:rPr>
          <w:rFonts w:ascii="Arial" w:hAnsi="Arial" w:cs="Arial"/>
          <w:color w:val="000000" w:themeColor="text1"/>
        </w:rPr>
        <w:t>Rozwój oraz deinstytucjonalizacja usług społecznych i zdrowotnych, których odbiorc</w:t>
      </w:r>
      <w:r w:rsidR="00B57545" w:rsidRPr="00327458">
        <w:rPr>
          <w:rFonts w:ascii="Arial" w:hAnsi="Arial" w:cs="Arial"/>
          <w:color w:val="000000" w:themeColor="text1"/>
        </w:rPr>
        <w:t>ą</w:t>
      </w:r>
      <w:r w:rsidRPr="00327458">
        <w:rPr>
          <w:rFonts w:ascii="Arial" w:hAnsi="Arial" w:cs="Arial"/>
          <w:color w:val="000000" w:themeColor="text1"/>
        </w:rPr>
        <w:t xml:space="preserve"> jest grupa osób z niepełnosprawnościami powinna skupiać się na </w:t>
      </w:r>
      <w:r w:rsidR="004A5A75" w:rsidRPr="00327458">
        <w:rPr>
          <w:rFonts w:ascii="Arial" w:hAnsi="Arial" w:cs="Arial"/>
          <w:color w:val="000000" w:themeColor="text1"/>
        </w:rPr>
        <w:t xml:space="preserve">rozbudowie oferty usług mieszkalnictwa chronionego </w:t>
      </w:r>
      <w:r w:rsidR="008C4045" w:rsidRPr="00327458">
        <w:rPr>
          <w:rFonts w:ascii="Arial" w:hAnsi="Arial" w:cs="Arial"/>
          <w:color w:val="000000" w:themeColor="text1"/>
        </w:rPr>
        <w:t>wspieranego</w:t>
      </w:r>
      <w:r w:rsidR="004A5A75" w:rsidRPr="00327458">
        <w:rPr>
          <w:rFonts w:ascii="Arial" w:hAnsi="Arial" w:cs="Arial"/>
          <w:color w:val="000000" w:themeColor="text1"/>
        </w:rPr>
        <w:t xml:space="preserve"> i treningoweg</w:t>
      </w:r>
      <w:r w:rsidR="00B57545" w:rsidRPr="00327458">
        <w:rPr>
          <w:rFonts w:ascii="Arial" w:hAnsi="Arial" w:cs="Arial"/>
          <w:color w:val="000000" w:themeColor="text1"/>
        </w:rPr>
        <w:t xml:space="preserve">o, umożlwiającego prowadzenie </w:t>
      </w:r>
      <w:r w:rsidR="00323CA7" w:rsidRPr="00327458">
        <w:rPr>
          <w:rFonts w:ascii="Arial" w:hAnsi="Arial" w:cs="Arial"/>
          <w:color w:val="000000" w:themeColor="text1"/>
        </w:rPr>
        <w:t xml:space="preserve">maksymalnie </w:t>
      </w:r>
      <w:r w:rsidR="00BF6577" w:rsidRPr="00327458">
        <w:rPr>
          <w:rFonts w:ascii="Arial" w:hAnsi="Arial" w:cs="Arial"/>
          <w:color w:val="000000" w:themeColor="text1"/>
        </w:rPr>
        <w:t>niezależnego</w:t>
      </w:r>
      <w:r w:rsidR="00B57545" w:rsidRPr="00327458">
        <w:rPr>
          <w:rFonts w:ascii="Arial" w:hAnsi="Arial" w:cs="Arial"/>
          <w:color w:val="000000" w:themeColor="text1"/>
        </w:rPr>
        <w:t xml:space="preserve"> życia </w:t>
      </w:r>
      <w:r w:rsidR="00BF6577" w:rsidRPr="00327458">
        <w:rPr>
          <w:rFonts w:ascii="Arial" w:hAnsi="Arial" w:cs="Arial"/>
          <w:color w:val="000000" w:themeColor="text1"/>
        </w:rPr>
        <w:t xml:space="preserve">ze wsparciem </w:t>
      </w:r>
      <w:r w:rsidR="00B57545" w:rsidRPr="00327458">
        <w:rPr>
          <w:rFonts w:ascii="Arial" w:hAnsi="Arial" w:cs="Arial"/>
          <w:color w:val="000000" w:themeColor="text1"/>
        </w:rPr>
        <w:t xml:space="preserve">w środowisku lokalnym. Niezbędnym warunkiem </w:t>
      </w:r>
      <w:r w:rsidR="00901D84" w:rsidRPr="00327458">
        <w:rPr>
          <w:rFonts w:ascii="Arial" w:hAnsi="Arial" w:cs="Arial"/>
          <w:color w:val="000000" w:themeColor="text1"/>
        </w:rPr>
        <w:t>funkcjonowania tychże mieszkań</w:t>
      </w:r>
      <w:r w:rsidR="00F82CE6" w:rsidRPr="00327458">
        <w:rPr>
          <w:rFonts w:ascii="Arial" w:hAnsi="Arial" w:cs="Arial"/>
          <w:color w:val="000000" w:themeColor="text1"/>
        </w:rPr>
        <w:t>, jak i wsparcia osób z niepełnosprawnościami prowadzących własne gospodarstwa domowe</w:t>
      </w:r>
      <w:r w:rsidR="001A7750" w:rsidRPr="00327458">
        <w:rPr>
          <w:rFonts w:ascii="Arial" w:hAnsi="Arial" w:cs="Arial"/>
          <w:color w:val="000000" w:themeColor="text1"/>
        </w:rPr>
        <w:t xml:space="preserve"> (a więc pozwalających na ich pozostanie w</w:t>
      </w:r>
      <w:r w:rsidR="00566DA7">
        <w:rPr>
          <w:rFonts w:ascii="Arial" w:hAnsi="Arial" w:cs="Arial"/>
          <w:color w:val="000000" w:themeColor="text1"/>
        </w:rPr>
        <w:t> </w:t>
      </w:r>
      <w:r w:rsidR="001A7750" w:rsidRPr="00327458">
        <w:rPr>
          <w:rFonts w:ascii="Arial" w:hAnsi="Arial" w:cs="Arial"/>
          <w:color w:val="000000" w:themeColor="text1"/>
        </w:rPr>
        <w:t>miejscu zamieszkania)</w:t>
      </w:r>
      <w:r w:rsidR="00901D84" w:rsidRPr="00327458">
        <w:rPr>
          <w:rFonts w:ascii="Arial" w:hAnsi="Arial" w:cs="Arial"/>
          <w:color w:val="000000" w:themeColor="text1"/>
        </w:rPr>
        <w:t xml:space="preserve"> jest </w:t>
      </w:r>
      <w:r w:rsidR="00F82CE6" w:rsidRPr="00327458">
        <w:rPr>
          <w:rFonts w:ascii="Arial" w:hAnsi="Arial" w:cs="Arial"/>
          <w:color w:val="000000" w:themeColor="text1"/>
        </w:rPr>
        <w:t>świadczenie</w:t>
      </w:r>
      <w:r w:rsidR="00901D84" w:rsidRPr="00327458">
        <w:rPr>
          <w:rFonts w:ascii="Arial" w:hAnsi="Arial" w:cs="Arial"/>
          <w:color w:val="000000" w:themeColor="text1"/>
        </w:rPr>
        <w:t xml:space="preserve"> usług asystencji osobistej</w:t>
      </w:r>
      <w:r w:rsidR="00F82CE6" w:rsidRPr="00327458">
        <w:rPr>
          <w:rFonts w:ascii="Arial" w:hAnsi="Arial" w:cs="Arial"/>
          <w:color w:val="000000" w:themeColor="text1"/>
        </w:rPr>
        <w:t>, usług opiekuńczych i</w:t>
      </w:r>
      <w:r w:rsidR="00566DA7">
        <w:rPr>
          <w:rFonts w:ascii="Arial" w:hAnsi="Arial" w:cs="Arial"/>
          <w:color w:val="000000" w:themeColor="text1"/>
        </w:rPr>
        <w:t> </w:t>
      </w:r>
      <w:r w:rsidR="00F82CE6" w:rsidRPr="00327458">
        <w:rPr>
          <w:rFonts w:ascii="Arial" w:hAnsi="Arial" w:cs="Arial"/>
          <w:color w:val="000000" w:themeColor="text1"/>
        </w:rPr>
        <w:t>specjalistycznych, zgodnie z indywidualnymi potrzebami tychże osób.</w:t>
      </w:r>
      <w:r w:rsidR="00AF00F7" w:rsidRPr="00327458">
        <w:rPr>
          <w:rFonts w:ascii="Arial" w:hAnsi="Arial" w:cs="Arial"/>
          <w:color w:val="000000" w:themeColor="text1"/>
        </w:rPr>
        <w:t xml:space="preserve"> Natomiast w</w:t>
      </w:r>
      <w:r w:rsidR="00566DA7">
        <w:rPr>
          <w:rFonts w:ascii="Arial" w:hAnsi="Arial" w:cs="Arial"/>
          <w:color w:val="000000" w:themeColor="text1"/>
        </w:rPr>
        <w:t> </w:t>
      </w:r>
      <w:r w:rsidR="00AF00F7" w:rsidRPr="00327458">
        <w:rPr>
          <w:rFonts w:ascii="Arial" w:hAnsi="Arial" w:cs="Arial"/>
          <w:color w:val="000000" w:themeColor="text1"/>
        </w:rPr>
        <w:t>przypadku osób z niepełnosprawnościami (w tym dzieci), mieszkający</w:t>
      </w:r>
      <w:r w:rsidR="004C16E0">
        <w:rPr>
          <w:rFonts w:ascii="Arial" w:hAnsi="Arial" w:cs="Arial"/>
          <w:color w:val="000000" w:themeColor="text1"/>
        </w:rPr>
        <w:t>ch</w:t>
      </w:r>
      <w:r w:rsidR="00AF00F7" w:rsidRPr="00327458">
        <w:rPr>
          <w:rFonts w:ascii="Arial" w:hAnsi="Arial" w:cs="Arial"/>
          <w:color w:val="000000" w:themeColor="text1"/>
        </w:rPr>
        <w:t xml:space="preserve"> w rodzinie</w:t>
      </w:r>
      <w:r w:rsidR="00566DA7">
        <w:rPr>
          <w:rFonts w:ascii="Arial" w:hAnsi="Arial" w:cs="Arial"/>
          <w:color w:val="000000" w:themeColor="text1"/>
        </w:rPr>
        <w:t>,</w:t>
      </w:r>
      <w:r w:rsidR="00AF00F7" w:rsidRPr="00327458">
        <w:rPr>
          <w:rFonts w:ascii="Arial" w:hAnsi="Arial" w:cs="Arial"/>
          <w:color w:val="000000" w:themeColor="text1"/>
        </w:rPr>
        <w:t xml:space="preserve"> </w:t>
      </w:r>
      <w:r w:rsidR="00F81A9A" w:rsidRPr="00327458">
        <w:rPr>
          <w:rFonts w:ascii="Arial" w:hAnsi="Arial" w:cs="Arial"/>
          <w:color w:val="000000" w:themeColor="text1"/>
        </w:rPr>
        <w:t xml:space="preserve">istotną rolę </w:t>
      </w:r>
      <w:r w:rsidR="00206C29" w:rsidRPr="00327458">
        <w:rPr>
          <w:rFonts w:ascii="Arial" w:hAnsi="Arial" w:cs="Arial"/>
          <w:color w:val="000000" w:themeColor="text1"/>
        </w:rPr>
        <w:t xml:space="preserve">odgrywa dostępność usługi opieki wytchnieniowej, która w połączeniu z usługami asystencji osobistej powinny uwzględniać możliwość aktywności zawodowej osób </w:t>
      </w:r>
      <w:r w:rsidR="00206C29" w:rsidRPr="00327458">
        <w:rPr>
          <w:rFonts w:ascii="Arial" w:hAnsi="Arial" w:cs="Arial"/>
          <w:color w:val="000000" w:themeColor="text1"/>
        </w:rPr>
        <w:lastRenderedPageBreak/>
        <w:t>sprawujących opiekę</w:t>
      </w:r>
      <w:r w:rsidR="00323CA7" w:rsidRPr="00327458">
        <w:rPr>
          <w:rFonts w:ascii="Arial" w:hAnsi="Arial" w:cs="Arial"/>
          <w:color w:val="000000" w:themeColor="text1"/>
        </w:rPr>
        <w:t xml:space="preserve"> oraz budować</w:t>
      </w:r>
      <w:r w:rsidR="00566DA7">
        <w:rPr>
          <w:rFonts w:ascii="Arial" w:hAnsi="Arial" w:cs="Arial"/>
          <w:color w:val="000000" w:themeColor="text1"/>
        </w:rPr>
        <w:t xml:space="preserve"> maksymalną</w:t>
      </w:r>
      <w:r w:rsidR="00323CA7" w:rsidRPr="00327458">
        <w:rPr>
          <w:rFonts w:ascii="Arial" w:hAnsi="Arial" w:cs="Arial"/>
          <w:color w:val="000000" w:themeColor="text1"/>
        </w:rPr>
        <w:t xml:space="preserve"> niezależność i spełnianie ról społecznych osoby wspierającej oraz wspieranej w rodzinie.</w:t>
      </w:r>
    </w:p>
    <w:p w:rsidR="002C68DC" w:rsidRPr="00327458" w:rsidRDefault="00827CC5" w:rsidP="00724D59">
      <w:pPr>
        <w:spacing w:after="0" w:line="360" w:lineRule="auto"/>
        <w:ind w:firstLine="708"/>
        <w:rPr>
          <w:rFonts w:ascii="Arial" w:hAnsi="Arial" w:cs="Arial"/>
          <w:color w:val="000000" w:themeColor="text1"/>
        </w:rPr>
      </w:pPr>
      <w:r w:rsidRPr="00327458">
        <w:rPr>
          <w:rFonts w:ascii="Arial" w:hAnsi="Arial" w:cs="Arial"/>
          <w:color w:val="000000" w:themeColor="text1"/>
        </w:rPr>
        <w:t>W cel</w:t>
      </w:r>
      <w:r w:rsidR="00724D59" w:rsidRPr="00327458">
        <w:rPr>
          <w:rFonts w:ascii="Arial" w:hAnsi="Arial" w:cs="Arial"/>
          <w:color w:val="000000" w:themeColor="text1"/>
        </w:rPr>
        <w:t>u zapobiegania umieszczania osób z niepełnosprawnością w placówkach wsparcia całodobowego z jednej strony, z drugiej zaś, by nie pozostały bez adekwatnego względem potrzeb wsparcia należy realizować usługi zdrowotne i społeczne w formie</w:t>
      </w:r>
      <w:r w:rsidR="002A3431" w:rsidRPr="00327458">
        <w:rPr>
          <w:rFonts w:ascii="Arial" w:hAnsi="Arial" w:cs="Arial"/>
          <w:color w:val="000000" w:themeColor="text1"/>
        </w:rPr>
        <w:t xml:space="preserve"> dziennej oraz</w:t>
      </w:r>
      <w:r w:rsidR="00724D59" w:rsidRPr="00327458">
        <w:rPr>
          <w:rFonts w:ascii="Arial" w:hAnsi="Arial" w:cs="Arial"/>
          <w:color w:val="000000" w:themeColor="text1"/>
        </w:rPr>
        <w:t xml:space="preserve"> interwencyjnej w utworzonych miejscach/placówkach pielęgnacyjno-opiekuńczych.</w:t>
      </w:r>
    </w:p>
    <w:p w:rsidR="002C68DC" w:rsidRPr="00327458" w:rsidRDefault="00A521B2" w:rsidP="00AF00F7">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Oferta usług społecznych i zdrowotnych dedykowana osobom z niepełnosprawnościami wymaga odpowiedniej koordynacji, w tym umożliwienia zainteresowanym (odbiorcom usług oraz ich opiekunom) uzyskania kompleksowej informacji o koszyku usług i miejscach ich świadczenia. Realizatorami </w:t>
      </w:r>
      <w:r w:rsidR="00BE05B2" w:rsidRPr="00327458">
        <w:rPr>
          <w:rFonts w:ascii="Arial" w:hAnsi="Arial" w:cs="Arial"/>
          <w:color w:val="000000" w:themeColor="text1"/>
        </w:rPr>
        <w:t xml:space="preserve">tejże </w:t>
      </w:r>
      <w:r w:rsidRPr="00327458">
        <w:rPr>
          <w:rFonts w:ascii="Arial" w:hAnsi="Arial" w:cs="Arial"/>
          <w:color w:val="000000" w:themeColor="text1"/>
        </w:rPr>
        <w:t xml:space="preserve">koordynacji </w:t>
      </w:r>
      <w:r w:rsidR="005E2880" w:rsidRPr="00327458">
        <w:rPr>
          <w:rFonts w:ascii="Arial" w:hAnsi="Arial" w:cs="Arial"/>
          <w:color w:val="000000" w:themeColor="text1"/>
        </w:rPr>
        <w:t>mogą być centra usług społecznych.</w:t>
      </w:r>
    </w:p>
    <w:p w:rsidR="001804AC" w:rsidRPr="00327458" w:rsidRDefault="001804AC" w:rsidP="00EC762F">
      <w:pPr>
        <w:pStyle w:val="Nagwek2"/>
        <w:rPr>
          <w:rFonts w:cs="Arial"/>
          <w:color w:val="000000" w:themeColor="text1"/>
        </w:rPr>
      </w:pPr>
      <w:r w:rsidRPr="00327458">
        <w:rPr>
          <w:rFonts w:cs="Arial"/>
          <w:color w:val="000000" w:themeColor="text1"/>
        </w:rPr>
        <w:t>Osoby</w:t>
      </w:r>
      <w:r w:rsidR="0021059B" w:rsidRPr="00327458">
        <w:rPr>
          <w:rFonts w:cs="Arial"/>
          <w:color w:val="000000" w:themeColor="text1"/>
        </w:rPr>
        <w:t xml:space="preserve"> z zaburzeniami psychicznymi i</w:t>
      </w:r>
      <w:r w:rsidRPr="00327458">
        <w:rPr>
          <w:rFonts w:cs="Arial"/>
          <w:color w:val="000000" w:themeColor="text1"/>
        </w:rPr>
        <w:t xml:space="preserve"> w kryzysie psychicznym</w:t>
      </w:r>
    </w:p>
    <w:p w:rsidR="008C44AF" w:rsidRPr="00327458" w:rsidRDefault="0035103C" w:rsidP="00AB6398">
      <w:pPr>
        <w:spacing w:after="0" w:line="360" w:lineRule="auto"/>
        <w:rPr>
          <w:rFonts w:ascii="Arial" w:hAnsi="Arial" w:cs="Arial"/>
          <w:color w:val="000000" w:themeColor="text1"/>
        </w:rPr>
      </w:pPr>
      <w:r w:rsidRPr="00327458">
        <w:rPr>
          <w:rFonts w:ascii="Arial" w:hAnsi="Arial" w:cs="Arial"/>
          <w:color w:val="000000" w:themeColor="text1"/>
        </w:rPr>
        <w:t>Według WHO 1 na 8 osób na świecie żyje z zaburzeniami psychicznymi. Wstępne szacunki za 2020 r. wskazują, że w ciągu roku</w:t>
      </w:r>
      <w:r w:rsidR="008F01D1" w:rsidRPr="00327458">
        <w:rPr>
          <w:rFonts w:ascii="Arial" w:hAnsi="Arial" w:cs="Arial"/>
          <w:color w:val="000000" w:themeColor="text1"/>
        </w:rPr>
        <w:t>, w następstwie pandemii COVID-19,</w:t>
      </w:r>
      <w:r w:rsidR="00091B03" w:rsidRPr="00327458">
        <w:rPr>
          <w:rFonts w:ascii="Arial" w:hAnsi="Arial" w:cs="Arial"/>
          <w:color w:val="000000" w:themeColor="text1"/>
        </w:rPr>
        <w:t xml:space="preserve"> o 26%</w:t>
      </w:r>
      <w:r w:rsidRPr="00327458">
        <w:rPr>
          <w:rFonts w:ascii="Arial" w:hAnsi="Arial" w:cs="Arial"/>
          <w:color w:val="000000" w:themeColor="text1"/>
        </w:rPr>
        <w:t xml:space="preserve"> wzrosła częstotliwość występowania zaburzeń lękowych</w:t>
      </w:r>
      <w:r w:rsidR="00091B03" w:rsidRPr="00327458">
        <w:rPr>
          <w:rFonts w:ascii="Arial" w:hAnsi="Arial" w:cs="Arial"/>
          <w:color w:val="000000" w:themeColor="text1"/>
        </w:rPr>
        <w:t xml:space="preserve">, a </w:t>
      </w:r>
      <w:r w:rsidRPr="00327458">
        <w:rPr>
          <w:rFonts w:ascii="Arial" w:hAnsi="Arial" w:cs="Arial"/>
          <w:color w:val="000000" w:themeColor="text1"/>
        </w:rPr>
        <w:t>poważnych zaburzeń depresyjnych o</w:t>
      </w:r>
      <w:r w:rsidR="00E51F38" w:rsidRPr="00327458">
        <w:rPr>
          <w:rFonts w:ascii="Arial" w:hAnsi="Arial" w:cs="Arial"/>
          <w:color w:val="000000" w:themeColor="text1"/>
        </w:rPr>
        <w:t> </w:t>
      </w:r>
      <w:r w:rsidRPr="00327458">
        <w:rPr>
          <w:rFonts w:ascii="Arial" w:hAnsi="Arial" w:cs="Arial"/>
          <w:color w:val="000000" w:themeColor="text1"/>
        </w:rPr>
        <w:t>28%</w:t>
      </w:r>
      <w:r w:rsidRPr="00327458">
        <w:rPr>
          <w:rStyle w:val="Odwoanieprzypisudolnego"/>
          <w:rFonts w:ascii="Arial" w:hAnsi="Arial" w:cs="Arial"/>
          <w:color w:val="000000" w:themeColor="text1"/>
        </w:rPr>
        <w:footnoteReference w:id="31"/>
      </w:r>
      <w:r w:rsidR="008F01D1" w:rsidRPr="00327458">
        <w:rPr>
          <w:rFonts w:ascii="Arial" w:hAnsi="Arial" w:cs="Arial"/>
          <w:color w:val="000000" w:themeColor="text1"/>
        </w:rPr>
        <w:t>.</w:t>
      </w:r>
      <w:r w:rsidR="00791D01" w:rsidRPr="00327458">
        <w:rPr>
          <w:rFonts w:ascii="Arial" w:hAnsi="Arial" w:cs="Arial"/>
          <w:color w:val="000000" w:themeColor="text1"/>
        </w:rPr>
        <w:t xml:space="preserve"> </w:t>
      </w:r>
      <w:r w:rsidR="00310F3A" w:rsidRPr="00327458">
        <w:rPr>
          <w:rFonts w:ascii="Arial" w:hAnsi="Arial" w:cs="Arial"/>
          <w:color w:val="000000" w:themeColor="text1"/>
        </w:rPr>
        <w:t>System ochrony zdrowia nie odpowiada na potrzeby osób w kryzysie psychicznym – jak podaje WHO tylko 1/3 osób z depresją otrzymuje pomoc</w:t>
      </w:r>
      <w:r w:rsidR="002655C0" w:rsidRPr="00327458">
        <w:rPr>
          <w:rFonts w:ascii="Arial" w:hAnsi="Arial" w:cs="Arial"/>
          <w:color w:val="000000" w:themeColor="text1"/>
        </w:rPr>
        <w:t>.</w:t>
      </w:r>
    </w:p>
    <w:p w:rsidR="00B83808" w:rsidRPr="00E95316" w:rsidRDefault="008C44AF" w:rsidP="00E735F3">
      <w:pPr>
        <w:spacing w:after="0" w:line="360" w:lineRule="auto"/>
        <w:ind w:firstLine="708"/>
        <w:rPr>
          <w:rFonts w:ascii="Arial" w:hAnsi="Arial" w:cs="Arial"/>
          <w:strike/>
          <w:color w:val="000000" w:themeColor="text1"/>
        </w:rPr>
      </w:pPr>
      <w:r w:rsidRPr="00327458">
        <w:rPr>
          <w:rFonts w:ascii="Arial" w:hAnsi="Arial" w:cs="Arial"/>
          <w:color w:val="000000" w:themeColor="text1"/>
        </w:rPr>
        <w:t xml:space="preserve">W ostatnich latach (2020-2022) wzrosła liczba osób podejmujących zamachy samobójcze. Statystyki Komendy Głównej Policji mówią o 21% wzroście </w:t>
      </w:r>
      <w:r w:rsidR="00840F10" w:rsidRPr="00327458">
        <w:rPr>
          <w:rFonts w:ascii="Arial" w:hAnsi="Arial" w:cs="Arial"/>
          <w:color w:val="000000" w:themeColor="text1"/>
        </w:rPr>
        <w:t xml:space="preserve">w 2022 roku </w:t>
      </w:r>
      <w:r w:rsidRPr="00327458">
        <w:rPr>
          <w:rFonts w:ascii="Arial" w:hAnsi="Arial" w:cs="Arial"/>
          <w:color w:val="000000" w:themeColor="text1"/>
        </w:rPr>
        <w:t>zamachów samobójczych w Polsce oraz 142% wzroście w województwie pomorskim</w:t>
      </w:r>
      <w:r w:rsidRPr="00327458">
        <w:rPr>
          <w:rStyle w:val="Odwoanieprzypisudolnego"/>
          <w:rFonts w:ascii="Arial" w:hAnsi="Arial" w:cs="Arial"/>
          <w:color w:val="000000" w:themeColor="text1"/>
        </w:rPr>
        <w:footnoteReference w:id="32"/>
      </w:r>
      <w:r w:rsidRPr="00327458">
        <w:rPr>
          <w:rFonts w:ascii="Arial" w:hAnsi="Arial" w:cs="Arial"/>
          <w:color w:val="000000" w:themeColor="text1"/>
        </w:rPr>
        <w:t xml:space="preserve"> w</w:t>
      </w:r>
      <w:r w:rsidR="00912A69">
        <w:rPr>
          <w:rFonts w:ascii="Arial" w:hAnsi="Arial" w:cs="Arial"/>
          <w:color w:val="000000" w:themeColor="text1"/>
        </w:rPr>
        <w:t> </w:t>
      </w:r>
      <w:r w:rsidRPr="00327458">
        <w:rPr>
          <w:rFonts w:ascii="Arial" w:hAnsi="Arial" w:cs="Arial"/>
          <w:color w:val="000000" w:themeColor="text1"/>
        </w:rPr>
        <w:t>stosunk</w:t>
      </w:r>
      <w:r w:rsidRPr="00E735F3">
        <w:rPr>
          <w:rFonts w:ascii="Arial" w:hAnsi="Arial" w:cs="Arial"/>
          <w:color w:val="000000" w:themeColor="text1"/>
        </w:rPr>
        <w:t>u do 2020 r.</w:t>
      </w:r>
      <w:r w:rsidR="00E735F3" w:rsidRPr="00E735F3">
        <w:rPr>
          <w:rFonts w:ascii="Arial" w:hAnsi="Arial" w:cs="Arial"/>
          <w:color w:val="000000" w:themeColor="text1"/>
        </w:rPr>
        <w:t xml:space="preserve"> Liczba </w:t>
      </w:r>
      <w:r w:rsidRPr="00E735F3">
        <w:rPr>
          <w:rFonts w:ascii="Arial" w:hAnsi="Arial" w:cs="Arial"/>
          <w:color w:val="000000" w:themeColor="text1"/>
        </w:rPr>
        <w:t>zamachów</w:t>
      </w:r>
      <w:r w:rsidRPr="00327458">
        <w:rPr>
          <w:rFonts w:ascii="Arial" w:hAnsi="Arial" w:cs="Arial"/>
          <w:color w:val="000000" w:themeColor="text1"/>
        </w:rPr>
        <w:t xml:space="preserve"> samobójczych w województwie pomorskim w roku 2022 </w:t>
      </w:r>
      <w:r w:rsidR="00E735F3">
        <w:rPr>
          <w:rFonts w:ascii="Arial" w:hAnsi="Arial" w:cs="Arial"/>
          <w:color w:val="000000" w:themeColor="text1"/>
        </w:rPr>
        <w:t>dotyczyła</w:t>
      </w:r>
      <w:r w:rsidRPr="00327458">
        <w:rPr>
          <w:rFonts w:ascii="Arial" w:hAnsi="Arial" w:cs="Arial"/>
          <w:color w:val="000000" w:themeColor="text1"/>
        </w:rPr>
        <w:t xml:space="preserve"> 1754 osób (1675 w 2021 r. oraz 724 w 2020 r.)</w:t>
      </w:r>
      <w:r w:rsidR="00E735F3">
        <w:rPr>
          <w:rFonts w:ascii="Arial" w:hAnsi="Arial" w:cs="Arial"/>
          <w:color w:val="000000" w:themeColor="text1"/>
        </w:rPr>
        <w:t>, w tym:</w:t>
      </w:r>
      <w:r w:rsidRPr="00327458">
        <w:rPr>
          <w:rFonts w:ascii="Arial" w:hAnsi="Arial" w:cs="Arial"/>
          <w:color w:val="000000" w:themeColor="text1"/>
        </w:rPr>
        <w:t xml:space="preserve"> zakończonych zgonem – 332 (320 w 2021 r. oraz 302 w 2020 r.)</w:t>
      </w:r>
      <w:r w:rsidR="00E735F3">
        <w:rPr>
          <w:rFonts w:ascii="Arial" w:hAnsi="Arial" w:cs="Arial"/>
          <w:color w:val="000000" w:themeColor="text1"/>
        </w:rPr>
        <w:t>,</w:t>
      </w:r>
      <w:r w:rsidRPr="00327458">
        <w:rPr>
          <w:rFonts w:ascii="Arial" w:hAnsi="Arial" w:cs="Arial"/>
          <w:color w:val="000000" w:themeColor="text1"/>
        </w:rPr>
        <w:t xml:space="preserve"> </w:t>
      </w:r>
      <w:r w:rsidR="00E735F3">
        <w:rPr>
          <w:rFonts w:ascii="Arial" w:hAnsi="Arial" w:cs="Arial"/>
          <w:color w:val="000000" w:themeColor="text1"/>
        </w:rPr>
        <w:t>397 w</w:t>
      </w:r>
      <w:r w:rsidRPr="00327458">
        <w:rPr>
          <w:rFonts w:ascii="Arial" w:hAnsi="Arial" w:cs="Arial"/>
          <w:color w:val="000000" w:themeColor="text1"/>
        </w:rPr>
        <w:t>śród dzieci i młodzieży (310 w 2021 r. oraz 84 w 2020 r.)</w:t>
      </w:r>
      <w:r w:rsidR="00E735F3">
        <w:rPr>
          <w:rFonts w:ascii="Arial" w:hAnsi="Arial" w:cs="Arial"/>
          <w:color w:val="000000" w:themeColor="text1"/>
        </w:rPr>
        <w:t>,</w:t>
      </w:r>
      <w:r w:rsidRPr="00327458">
        <w:rPr>
          <w:rFonts w:ascii="Arial" w:hAnsi="Arial" w:cs="Arial"/>
          <w:color w:val="000000" w:themeColor="text1"/>
        </w:rPr>
        <w:t xml:space="preserve"> </w:t>
      </w:r>
      <w:r w:rsidR="00E735F3">
        <w:rPr>
          <w:rFonts w:ascii="Arial" w:hAnsi="Arial" w:cs="Arial"/>
          <w:color w:val="000000" w:themeColor="text1"/>
        </w:rPr>
        <w:t>zaś</w:t>
      </w:r>
      <w:r w:rsidRPr="00327458">
        <w:rPr>
          <w:rFonts w:ascii="Arial" w:hAnsi="Arial" w:cs="Arial"/>
          <w:color w:val="000000" w:themeColor="text1"/>
        </w:rPr>
        <w:t xml:space="preserve"> zakończonych zgonem było 16 zarówno w 2022, jak i w 2021 roku (5 w 2020 r.).</w:t>
      </w:r>
      <w:r w:rsidR="00E95316" w:rsidRPr="00E735F3">
        <w:rPr>
          <w:rFonts w:ascii="Arial" w:hAnsi="Arial" w:cs="Arial"/>
          <w:color w:val="000000" w:themeColor="text1"/>
        </w:rPr>
        <w:t xml:space="preserve"> </w:t>
      </w:r>
      <w:r w:rsidR="0042311F" w:rsidRPr="00327458">
        <w:rPr>
          <w:rFonts w:ascii="Arial" w:hAnsi="Arial" w:cs="Arial"/>
          <w:color w:val="000000" w:themeColor="text1"/>
        </w:rPr>
        <w:t>Rośnie także liczba osób leczonych w poradniach dla osób z</w:t>
      </w:r>
      <w:r w:rsidR="00E51F38" w:rsidRPr="00327458">
        <w:rPr>
          <w:rFonts w:ascii="Arial" w:hAnsi="Arial" w:cs="Arial"/>
          <w:color w:val="000000" w:themeColor="text1"/>
        </w:rPr>
        <w:t> </w:t>
      </w:r>
      <w:r w:rsidR="0042311F" w:rsidRPr="00327458">
        <w:rPr>
          <w:rFonts w:ascii="Arial" w:hAnsi="Arial" w:cs="Arial"/>
          <w:color w:val="000000" w:themeColor="text1"/>
        </w:rPr>
        <w:t>zaburzeniami psychicznymi – w 2020 r. w porównaniu z 2019 r. przybyło ich 16,7 tys., tj. 14,2%</w:t>
      </w:r>
      <w:r w:rsidR="0042311F" w:rsidRPr="00327458">
        <w:rPr>
          <w:rStyle w:val="Odwoanieprzypisudolnego"/>
          <w:rFonts w:ascii="Arial" w:hAnsi="Arial" w:cs="Arial"/>
          <w:color w:val="000000" w:themeColor="text1"/>
        </w:rPr>
        <w:footnoteReference w:id="33"/>
      </w:r>
      <w:r w:rsidR="0042311F" w:rsidRPr="00327458">
        <w:rPr>
          <w:rFonts w:ascii="Arial" w:hAnsi="Arial" w:cs="Arial"/>
          <w:color w:val="000000" w:themeColor="text1"/>
        </w:rPr>
        <w:t>.</w:t>
      </w:r>
    </w:p>
    <w:p w:rsidR="00B83808" w:rsidRPr="00327458" w:rsidRDefault="00553EDC" w:rsidP="00AB6398">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Osoby </w:t>
      </w:r>
      <w:r w:rsidR="00B83808" w:rsidRPr="00327458">
        <w:rPr>
          <w:rFonts w:ascii="Arial" w:hAnsi="Arial" w:cs="Arial"/>
          <w:color w:val="000000" w:themeColor="text1"/>
        </w:rPr>
        <w:t>w</w:t>
      </w:r>
      <w:r w:rsidRPr="00327458">
        <w:rPr>
          <w:rFonts w:ascii="Arial" w:hAnsi="Arial" w:cs="Arial"/>
          <w:color w:val="000000" w:themeColor="text1"/>
        </w:rPr>
        <w:t xml:space="preserve"> kryzys</w:t>
      </w:r>
      <w:r w:rsidR="00B83808" w:rsidRPr="00327458">
        <w:rPr>
          <w:rFonts w:ascii="Arial" w:hAnsi="Arial" w:cs="Arial"/>
          <w:color w:val="000000" w:themeColor="text1"/>
        </w:rPr>
        <w:t>ie</w:t>
      </w:r>
      <w:r w:rsidRPr="00327458">
        <w:rPr>
          <w:rFonts w:ascii="Arial" w:hAnsi="Arial" w:cs="Arial"/>
          <w:color w:val="000000" w:themeColor="text1"/>
        </w:rPr>
        <w:t xml:space="preserve"> psychiczn</w:t>
      </w:r>
      <w:r w:rsidR="00B83808" w:rsidRPr="00327458">
        <w:rPr>
          <w:rFonts w:ascii="Arial" w:hAnsi="Arial" w:cs="Arial"/>
          <w:color w:val="000000" w:themeColor="text1"/>
        </w:rPr>
        <w:t>ym</w:t>
      </w:r>
      <w:r w:rsidRPr="00327458">
        <w:rPr>
          <w:rFonts w:ascii="Arial" w:hAnsi="Arial" w:cs="Arial"/>
          <w:color w:val="000000" w:themeColor="text1"/>
        </w:rPr>
        <w:t xml:space="preserve"> mogą korzystać ze wsparcia środowiskowego świadczonego</w:t>
      </w:r>
      <w:r w:rsidR="00B83808" w:rsidRPr="00327458">
        <w:rPr>
          <w:rFonts w:ascii="Arial" w:hAnsi="Arial" w:cs="Arial"/>
          <w:color w:val="000000" w:themeColor="text1"/>
        </w:rPr>
        <w:t xml:space="preserve"> </w:t>
      </w:r>
      <w:r w:rsidR="00091B03" w:rsidRPr="00327458">
        <w:rPr>
          <w:rFonts w:ascii="Arial" w:hAnsi="Arial" w:cs="Arial"/>
          <w:color w:val="000000" w:themeColor="text1"/>
        </w:rPr>
        <w:t xml:space="preserve">przez </w:t>
      </w:r>
      <w:r w:rsidR="00B83808" w:rsidRPr="00327458">
        <w:rPr>
          <w:rFonts w:ascii="Arial" w:hAnsi="Arial" w:cs="Arial"/>
          <w:color w:val="000000" w:themeColor="text1"/>
        </w:rPr>
        <w:t>m.in.</w:t>
      </w:r>
      <w:r w:rsidRPr="00327458">
        <w:rPr>
          <w:rFonts w:ascii="Arial" w:hAnsi="Arial" w:cs="Arial"/>
          <w:color w:val="000000" w:themeColor="text1"/>
        </w:rPr>
        <w:t xml:space="preserve"> </w:t>
      </w:r>
      <w:r w:rsidR="00386620" w:rsidRPr="00327458">
        <w:rPr>
          <w:rFonts w:ascii="Arial" w:hAnsi="Arial" w:cs="Arial"/>
          <w:color w:val="000000" w:themeColor="text1"/>
        </w:rPr>
        <w:t xml:space="preserve">kluby samopomocy, </w:t>
      </w:r>
      <w:r w:rsidRPr="00327458">
        <w:rPr>
          <w:rFonts w:ascii="Arial" w:hAnsi="Arial" w:cs="Arial"/>
          <w:color w:val="000000" w:themeColor="text1"/>
        </w:rPr>
        <w:t>kluby samopomocy dla osób z zaburzeniami psychicznymi oraz środowiskowe domy samopomocy</w:t>
      </w:r>
      <w:r w:rsidR="008A3060" w:rsidRPr="00327458">
        <w:rPr>
          <w:rFonts w:ascii="Arial" w:hAnsi="Arial" w:cs="Arial"/>
          <w:color w:val="000000" w:themeColor="text1"/>
        </w:rPr>
        <w:t xml:space="preserve"> (ŚDS)</w:t>
      </w:r>
      <w:r w:rsidRPr="00327458">
        <w:rPr>
          <w:rFonts w:ascii="Arial" w:hAnsi="Arial" w:cs="Arial"/>
          <w:color w:val="000000" w:themeColor="text1"/>
        </w:rPr>
        <w:t>. W 2021</w:t>
      </w:r>
      <w:r w:rsidR="001B685C" w:rsidRPr="00327458">
        <w:rPr>
          <w:rFonts w:ascii="Arial" w:hAnsi="Arial" w:cs="Arial"/>
          <w:color w:val="000000" w:themeColor="text1"/>
        </w:rPr>
        <w:t xml:space="preserve"> </w:t>
      </w:r>
      <w:r w:rsidRPr="00327458">
        <w:rPr>
          <w:rFonts w:ascii="Arial" w:hAnsi="Arial" w:cs="Arial"/>
          <w:color w:val="000000" w:themeColor="text1"/>
        </w:rPr>
        <w:t>r</w:t>
      </w:r>
      <w:r w:rsidR="005A2B4F" w:rsidRPr="00327458">
        <w:rPr>
          <w:rFonts w:ascii="Arial" w:hAnsi="Arial" w:cs="Arial"/>
          <w:color w:val="000000" w:themeColor="text1"/>
        </w:rPr>
        <w:t>.</w:t>
      </w:r>
      <w:r w:rsidRPr="00327458">
        <w:rPr>
          <w:rFonts w:ascii="Arial" w:hAnsi="Arial" w:cs="Arial"/>
          <w:color w:val="000000" w:themeColor="text1"/>
        </w:rPr>
        <w:t xml:space="preserve"> liczba klubów samopomocy dla osób z zaburzeniami psychicznymi </w:t>
      </w:r>
      <w:r w:rsidR="003E04DD" w:rsidRPr="00327458">
        <w:rPr>
          <w:rFonts w:ascii="Arial" w:hAnsi="Arial" w:cs="Arial"/>
          <w:color w:val="000000" w:themeColor="text1"/>
        </w:rPr>
        <w:t xml:space="preserve">wyniosła 12 </w:t>
      </w:r>
      <w:r w:rsidR="00386620" w:rsidRPr="00327458">
        <w:rPr>
          <w:rFonts w:ascii="Arial" w:hAnsi="Arial" w:cs="Arial"/>
          <w:color w:val="000000" w:themeColor="text1"/>
        </w:rPr>
        <w:t>(</w:t>
      </w:r>
      <w:r w:rsidR="00621262" w:rsidRPr="00327458">
        <w:rPr>
          <w:rFonts w:ascii="Arial" w:hAnsi="Arial" w:cs="Arial"/>
          <w:color w:val="000000" w:themeColor="text1"/>
        </w:rPr>
        <w:t xml:space="preserve">o 1 mniej względem stanu </w:t>
      </w:r>
      <w:r w:rsidR="00621262" w:rsidRPr="00327458">
        <w:rPr>
          <w:rFonts w:ascii="Arial" w:hAnsi="Arial" w:cs="Arial"/>
          <w:color w:val="000000" w:themeColor="text1"/>
        </w:rPr>
        <w:lastRenderedPageBreak/>
        <w:t>z 2020 r.</w:t>
      </w:r>
      <w:r w:rsidR="00386620" w:rsidRPr="00327458">
        <w:rPr>
          <w:rFonts w:ascii="Arial" w:hAnsi="Arial" w:cs="Arial"/>
          <w:color w:val="000000" w:themeColor="text1"/>
        </w:rPr>
        <w:t>)</w:t>
      </w:r>
      <w:r w:rsidR="003E04DD" w:rsidRPr="00327458">
        <w:rPr>
          <w:rFonts w:ascii="Arial" w:hAnsi="Arial" w:cs="Arial"/>
          <w:color w:val="000000" w:themeColor="text1"/>
        </w:rPr>
        <w:t>,</w:t>
      </w:r>
      <w:r w:rsidR="00DF3D19" w:rsidRPr="00327458">
        <w:rPr>
          <w:rFonts w:ascii="Arial" w:hAnsi="Arial" w:cs="Arial"/>
          <w:color w:val="000000" w:themeColor="text1"/>
        </w:rPr>
        <w:t xml:space="preserve"> </w:t>
      </w:r>
      <w:r w:rsidR="00EC7E36" w:rsidRPr="00327458">
        <w:rPr>
          <w:rFonts w:ascii="Arial" w:hAnsi="Arial" w:cs="Arial"/>
          <w:color w:val="000000" w:themeColor="text1"/>
        </w:rPr>
        <w:t>zaś liczba osób korzystających w roku</w:t>
      </w:r>
      <w:r w:rsidR="00F77148" w:rsidRPr="00327458">
        <w:rPr>
          <w:rFonts w:ascii="Arial" w:hAnsi="Arial" w:cs="Arial"/>
          <w:color w:val="000000" w:themeColor="text1"/>
        </w:rPr>
        <w:t xml:space="preserve"> </w:t>
      </w:r>
      <w:r w:rsidR="00EC7E36" w:rsidRPr="00327458">
        <w:rPr>
          <w:rFonts w:ascii="Arial" w:hAnsi="Arial" w:cs="Arial"/>
          <w:color w:val="000000" w:themeColor="text1"/>
        </w:rPr>
        <w:t>zmniejszyła się o 7,6% (29 osób)</w:t>
      </w:r>
      <w:r w:rsidR="003E04DD" w:rsidRPr="00327458">
        <w:rPr>
          <w:rFonts w:ascii="Arial" w:hAnsi="Arial" w:cs="Arial"/>
          <w:color w:val="000000" w:themeColor="text1"/>
        </w:rPr>
        <w:t xml:space="preserve"> i wyniosła 351</w:t>
      </w:r>
      <w:r w:rsidR="00EC7E36" w:rsidRPr="00327458">
        <w:rPr>
          <w:rFonts w:ascii="Arial" w:hAnsi="Arial" w:cs="Arial"/>
          <w:color w:val="000000" w:themeColor="text1"/>
        </w:rPr>
        <w:t>.</w:t>
      </w:r>
      <w:r w:rsidR="009516FF" w:rsidRPr="00327458">
        <w:rPr>
          <w:rFonts w:ascii="Arial" w:hAnsi="Arial" w:cs="Arial"/>
          <w:color w:val="000000" w:themeColor="text1"/>
        </w:rPr>
        <w:t xml:space="preserve"> Wzrosła natomiast liczba klubów samopomocy oraz osób korzystających w roku (odpowiednio o 3 i 249).</w:t>
      </w:r>
      <w:r w:rsidR="002D272E" w:rsidRPr="00327458">
        <w:rPr>
          <w:rFonts w:ascii="Arial" w:hAnsi="Arial" w:cs="Arial"/>
          <w:color w:val="000000" w:themeColor="text1"/>
        </w:rPr>
        <w:t xml:space="preserve"> W przypadku ŚDS</w:t>
      </w:r>
      <w:r w:rsidR="00D508F7" w:rsidRPr="00327458">
        <w:rPr>
          <w:rFonts w:ascii="Arial" w:hAnsi="Arial" w:cs="Arial"/>
          <w:color w:val="000000" w:themeColor="text1"/>
        </w:rPr>
        <w:t>,</w:t>
      </w:r>
      <w:r w:rsidR="002D272E" w:rsidRPr="00327458">
        <w:rPr>
          <w:rFonts w:ascii="Arial" w:hAnsi="Arial" w:cs="Arial"/>
          <w:color w:val="000000" w:themeColor="text1"/>
        </w:rPr>
        <w:t xml:space="preserve"> ich liczba zwiększyła się </w:t>
      </w:r>
      <w:r w:rsidR="00580DF9" w:rsidRPr="00327458">
        <w:rPr>
          <w:rFonts w:ascii="Arial" w:hAnsi="Arial" w:cs="Arial"/>
          <w:color w:val="000000" w:themeColor="text1"/>
        </w:rPr>
        <w:t>do 70 (</w:t>
      </w:r>
      <w:r w:rsidR="002D272E" w:rsidRPr="00327458">
        <w:rPr>
          <w:rFonts w:ascii="Arial" w:hAnsi="Arial" w:cs="Arial"/>
          <w:color w:val="000000" w:themeColor="text1"/>
        </w:rPr>
        <w:t>o 1</w:t>
      </w:r>
      <w:r w:rsidR="00573BAC" w:rsidRPr="00327458">
        <w:rPr>
          <w:rFonts w:ascii="Arial" w:hAnsi="Arial" w:cs="Arial"/>
          <w:color w:val="000000" w:themeColor="text1"/>
        </w:rPr>
        <w:t>,4%</w:t>
      </w:r>
      <w:r w:rsidR="00580DF9" w:rsidRPr="00327458">
        <w:rPr>
          <w:rFonts w:ascii="Arial" w:hAnsi="Arial" w:cs="Arial"/>
          <w:color w:val="000000" w:themeColor="text1"/>
        </w:rPr>
        <w:t xml:space="preserve">, tj. </w:t>
      </w:r>
      <w:r w:rsidR="00573BAC" w:rsidRPr="00327458">
        <w:rPr>
          <w:rFonts w:ascii="Arial" w:hAnsi="Arial" w:cs="Arial"/>
          <w:color w:val="000000" w:themeColor="text1"/>
        </w:rPr>
        <w:t>1 placów</w:t>
      </w:r>
      <w:r w:rsidR="00580DF9" w:rsidRPr="00327458">
        <w:rPr>
          <w:rFonts w:ascii="Arial" w:hAnsi="Arial" w:cs="Arial"/>
          <w:color w:val="000000" w:themeColor="text1"/>
        </w:rPr>
        <w:t>kę</w:t>
      </w:r>
      <w:r w:rsidR="00573BAC" w:rsidRPr="00327458">
        <w:rPr>
          <w:rFonts w:ascii="Arial" w:hAnsi="Arial" w:cs="Arial"/>
          <w:color w:val="000000" w:themeColor="text1"/>
        </w:rPr>
        <w:t>), liczba osób w roku</w:t>
      </w:r>
      <w:r w:rsidR="00C617B7" w:rsidRPr="00327458">
        <w:rPr>
          <w:rFonts w:ascii="Arial" w:hAnsi="Arial" w:cs="Arial"/>
          <w:color w:val="000000" w:themeColor="text1"/>
        </w:rPr>
        <w:t xml:space="preserve"> do 2366</w:t>
      </w:r>
      <w:r w:rsidR="00573BAC" w:rsidRPr="00327458">
        <w:rPr>
          <w:rFonts w:ascii="Arial" w:hAnsi="Arial" w:cs="Arial"/>
          <w:color w:val="000000" w:themeColor="text1"/>
        </w:rPr>
        <w:t xml:space="preserve"> </w:t>
      </w:r>
      <w:r w:rsidR="00C617B7" w:rsidRPr="00327458">
        <w:rPr>
          <w:rFonts w:ascii="Arial" w:hAnsi="Arial" w:cs="Arial"/>
          <w:color w:val="000000" w:themeColor="text1"/>
        </w:rPr>
        <w:t>(</w:t>
      </w:r>
      <w:r w:rsidR="00573BAC" w:rsidRPr="00327458">
        <w:rPr>
          <w:rFonts w:ascii="Arial" w:hAnsi="Arial" w:cs="Arial"/>
          <w:color w:val="000000" w:themeColor="text1"/>
        </w:rPr>
        <w:t>o 3,7%</w:t>
      </w:r>
      <w:r w:rsidR="00C617B7" w:rsidRPr="00327458">
        <w:rPr>
          <w:rFonts w:ascii="Arial" w:hAnsi="Arial" w:cs="Arial"/>
          <w:color w:val="000000" w:themeColor="text1"/>
        </w:rPr>
        <w:t xml:space="preserve">, tj. </w:t>
      </w:r>
      <w:r w:rsidR="00573BAC" w:rsidRPr="00327458">
        <w:rPr>
          <w:rFonts w:ascii="Arial" w:hAnsi="Arial" w:cs="Arial"/>
          <w:color w:val="000000" w:themeColor="text1"/>
        </w:rPr>
        <w:t>85 osób)</w:t>
      </w:r>
      <w:r w:rsidR="00D508F7" w:rsidRPr="00327458">
        <w:rPr>
          <w:rFonts w:ascii="Arial" w:hAnsi="Arial" w:cs="Arial"/>
          <w:color w:val="000000" w:themeColor="text1"/>
        </w:rPr>
        <w:t>,</w:t>
      </w:r>
      <w:r w:rsidR="00573BAC" w:rsidRPr="00327458">
        <w:rPr>
          <w:rFonts w:ascii="Arial" w:hAnsi="Arial" w:cs="Arial"/>
          <w:color w:val="000000" w:themeColor="text1"/>
        </w:rPr>
        <w:t xml:space="preserve"> </w:t>
      </w:r>
      <w:r w:rsidR="00D508F7" w:rsidRPr="00327458">
        <w:rPr>
          <w:rFonts w:ascii="Arial" w:hAnsi="Arial" w:cs="Arial"/>
          <w:color w:val="000000" w:themeColor="text1"/>
        </w:rPr>
        <w:t>a</w:t>
      </w:r>
      <w:r w:rsidR="00573BAC" w:rsidRPr="00327458">
        <w:rPr>
          <w:rFonts w:ascii="Arial" w:hAnsi="Arial" w:cs="Arial"/>
          <w:color w:val="000000" w:themeColor="text1"/>
        </w:rPr>
        <w:t xml:space="preserve"> liczba oczekujących na</w:t>
      </w:r>
      <w:r w:rsidR="00F45C31">
        <w:rPr>
          <w:rFonts w:ascii="Arial" w:hAnsi="Arial" w:cs="Arial"/>
          <w:color w:val="000000" w:themeColor="text1"/>
        </w:rPr>
        <w:t> </w:t>
      </w:r>
      <w:r w:rsidR="00573BAC" w:rsidRPr="00327458">
        <w:rPr>
          <w:rFonts w:ascii="Arial" w:hAnsi="Arial" w:cs="Arial"/>
          <w:color w:val="000000" w:themeColor="text1"/>
        </w:rPr>
        <w:t>przyjęcie według stanu na 31 grudnia</w:t>
      </w:r>
      <w:r w:rsidR="00A94028" w:rsidRPr="00327458">
        <w:rPr>
          <w:rFonts w:ascii="Arial" w:hAnsi="Arial" w:cs="Arial"/>
          <w:color w:val="000000" w:themeColor="text1"/>
        </w:rPr>
        <w:t xml:space="preserve"> do 137</w:t>
      </w:r>
      <w:r w:rsidR="00573BAC" w:rsidRPr="00327458">
        <w:rPr>
          <w:rFonts w:ascii="Arial" w:hAnsi="Arial" w:cs="Arial"/>
          <w:color w:val="000000" w:themeColor="text1"/>
        </w:rPr>
        <w:t xml:space="preserve"> </w:t>
      </w:r>
      <w:r w:rsidR="00A94028" w:rsidRPr="00327458">
        <w:rPr>
          <w:rFonts w:ascii="Arial" w:hAnsi="Arial" w:cs="Arial"/>
          <w:color w:val="000000" w:themeColor="text1"/>
        </w:rPr>
        <w:t>(</w:t>
      </w:r>
      <w:r w:rsidR="00573BAC" w:rsidRPr="00327458">
        <w:rPr>
          <w:rFonts w:ascii="Arial" w:hAnsi="Arial" w:cs="Arial"/>
          <w:color w:val="000000" w:themeColor="text1"/>
        </w:rPr>
        <w:t>o 75,6%</w:t>
      </w:r>
      <w:r w:rsidR="00A94028" w:rsidRPr="00327458">
        <w:rPr>
          <w:rFonts w:ascii="Arial" w:hAnsi="Arial" w:cs="Arial"/>
          <w:color w:val="000000" w:themeColor="text1"/>
        </w:rPr>
        <w:t>; tj.</w:t>
      </w:r>
      <w:r w:rsidR="00573BAC" w:rsidRPr="00327458">
        <w:rPr>
          <w:rFonts w:ascii="Arial" w:hAnsi="Arial" w:cs="Arial"/>
          <w:color w:val="000000" w:themeColor="text1"/>
        </w:rPr>
        <w:t xml:space="preserve"> 59 osób)</w:t>
      </w:r>
      <w:r w:rsidR="00CC5516" w:rsidRPr="00327458">
        <w:rPr>
          <w:rStyle w:val="Odwoanieprzypisudolnego"/>
          <w:rFonts w:ascii="Arial" w:hAnsi="Arial" w:cs="Arial"/>
          <w:color w:val="000000" w:themeColor="text1"/>
        </w:rPr>
        <w:footnoteReference w:id="34"/>
      </w:r>
      <w:r w:rsidR="00573BAC" w:rsidRPr="00327458">
        <w:rPr>
          <w:rFonts w:ascii="Arial" w:hAnsi="Arial" w:cs="Arial"/>
          <w:color w:val="000000" w:themeColor="text1"/>
        </w:rPr>
        <w:t>.</w:t>
      </w:r>
    </w:p>
    <w:p w:rsidR="0085122E" w:rsidRPr="00327458" w:rsidRDefault="00DF25F8" w:rsidP="00AB6398">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Ponadto </w:t>
      </w:r>
      <w:r w:rsidR="0085122E" w:rsidRPr="00327458">
        <w:rPr>
          <w:rFonts w:ascii="Arial" w:hAnsi="Arial" w:cs="Arial"/>
          <w:color w:val="000000" w:themeColor="text1"/>
        </w:rPr>
        <w:t>osobom z zaburzeniami psychicznymi dedykowane są specjalistyczne usługi opiekuńcze świadczone w miejscu zamieszkania</w:t>
      </w:r>
      <w:r w:rsidR="001C6788" w:rsidRPr="00327458">
        <w:rPr>
          <w:rFonts w:ascii="Arial" w:hAnsi="Arial" w:cs="Arial"/>
          <w:color w:val="000000" w:themeColor="text1"/>
        </w:rPr>
        <w:t>. W 2021 r. skorzystało z nich 1,5 tys. osób i</w:t>
      </w:r>
      <w:r w:rsidR="00E51F38" w:rsidRPr="00327458">
        <w:rPr>
          <w:rFonts w:ascii="Arial" w:hAnsi="Arial" w:cs="Arial"/>
          <w:color w:val="000000" w:themeColor="text1"/>
        </w:rPr>
        <w:t> </w:t>
      </w:r>
      <w:r w:rsidR="001C6788" w:rsidRPr="00327458">
        <w:rPr>
          <w:rFonts w:ascii="Arial" w:hAnsi="Arial" w:cs="Arial"/>
          <w:color w:val="000000" w:themeColor="text1"/>
        </w:rPr>
        <w:t>było to o 1,9% mniej niż w 2020 r.</w:t>
      </w:r>
      <w:r w:rsidR="00A1288F" w:rsidRPr="00327458">
        <w:rPr>
          <w:rFonts w:ascii="Arial" w:hAnsi="Arial" w:cs="Arial"/>
          <w:color w:val="000000" w:themeColor="text1"/>
        </w:rPr>
        <w:t>, jednak wartość świadczeń wzrosła do 18,9 mln zł, tj. o</w:t>
      </w:r>
      <w:r w:rsidR="00E51F38" w:rsidRPr="00327458">
        <w:rPr>
          <w:rFonts w:ascii="Arial" w:hAnsi="Arial" w:cs="Arial"/>
          <w:color w:val="000000" w:themeColor="text1"/>
        </w:rPr>
        <w:t> </w:t>
      </w:r>
      <w:r w:rsidR="00A1288F" w:rsidRPr="00327458">
        <w:rPr>
          <w:rFonts w:ascii="Arial" w:hAnsi="Arial" w:cs="Arial"/>
          <w:color w:val="000000" w:themeColor="text1"/>
        </w:rPr>
        <w:t>4,8%</w:t>
      </w:r>
      <w:r w:rsidR="001C6788" w:rsidRPr="00327458">
        <w:rPr>
          <w:rStyle w:val="Odwoanieprzypisudolnego"/>
          <w:rFonts w:ascii="Arial" w:hAnsi="Arial" w:cs="Arial"/>
          <w:color w:val="000000" w:themeColor="text1"/>
        </w:rPr>
        <w:footnoteReference w:id="35"/>
      </w:r>
      <w:r w:rsidR="001C6788" w:rsidRPr="00327458">
        <w:rPr>
          <w:rFonts w:ascii="Arial" w:hAnsi="Arial" w:cs="Arial"/>
          <w:color w:val="000000" w:themeColor="text1"/>
        </w:rPr>
        <w:t>.</w:t>
      </w:r>
      <w:r w:rsidR="0026211B" w:rsidRPr="00327458">
        <w:rPr>
          <w:rFonts w:ascii="Arial" w:hAnsi="Arial" w:cs="Arial"/>
          <w:color w:val="000000" w:themeColor="text1"/>
        </w:rPr>
        <w:t xml:space="preserve"> Należy jednak zaznaczyć, że jak wynika ze szczegółowych danych zebranych w</w:t>
      </w:r>
      <w:r w:rsidR="00F74908" w:rsidRPr="00327458">
        <w:rPr>
          <w:rFonts w:ascii="Arial" w:hAnsi="Arial" w:cs="Arial"/>
          <w:color w:val="000000" w:themeColor="text1"/>
        </w:rPr>
        <w:t> </w:t>
      </w:r>
      <w:r w:rsidR="0026211B" w:rsidRPr="00327458">
        <w:rPr>
          <w:rFonts w:ascii="Arial" w:hAnsi="Arial" w:cs="Arial"/>
          <w:color w:val="000000" w:themeColor="text1"/>
        </w:rPr>
        <w:t>sprawozdaniu MRiPS-03-R</w:t>
      </w:r>
      <w:r w:rsidR="002217C9" w:rsidRPr="00327458">
        <w:rPr>
          <w:rFonts w:ascii="Arial" w:hAnsi="Arial" w:cs="Arial"/>
          <w:color w:val="000000" w:themeColor="text1"/>
        </w:rPr>
        <w:t xml:space="preserve"> za 2021 r.</w:t>
      </w:r>
      <w:r w:rsidR="0026211B" w:rsidRPr="00327458">
        <w:rPr>
          <w:rFonts w:ascii="Arial" w:hAnsi="Arial" w:cs="Arial"/>
          <w:color w:val="000000" w:themeColor="text1"/>
        </w:rPr>
        <w:t>, specjalistyczne usługi opiekuńcze w miejscu zamieszkania dla osób z zaburzeniami psychicznymi są zabe</w:t>
      </w:r>
      <w:r w:rsidR="002217C9" w:rsidRPr="00327458">
        <w:rPr>
          <w:rFonts w:ascii="Arial" w:hAnsi="Arial" w:cs="Arial"/>
          <w:color w:val="000000" w:themeColor="text1"/>
        </w:rPr>
        <w:t>z</w:t>
      </w:r>
      <w:r w:rsidR="0026211B" w:rsidRPr="00327458">
        <w:rPr>
          <w:rFonts w:ascii="Arial" w:hAnsi="Arial" w:cs="Arial"/>
          <w:color w:val="000000" w:themeColor="text1"/>
        </w:rPr>
        <w:t>pieczone w 100 gminach województwa pomorskiego</w:t>
      </w:r>
      <w:r w:rsidR="002217C9" w:rsidRPr="00327458">
        <w:rPr>
          <w:rFonts w:ascii="Arial" w:hAnsi="Arial" w:cs="Arial"/>
          <w:color w:val="000000" w:themeColor="text1"/>
        </w:rPr>
        <w:t>, zaś w przypadku pozostałych 23 nie wydano decyzji przyznających takie świadczenie</w:t>
      </w:r>
      <w:r w:rsidR="002217C9" w:rsidRPr="00327458">
        <w:rPr>
          <w:rStyle w:val="Odwoanieprzypisudolnego"/>
          <w:rFonts w:ascii="Arial" w:hAnsi="Arial" w:cs="Arial"/>
          <w:color w:val="000000" w:themeColor="text1"/>
        </w:rPr>
        <w:footnoteReference w:id="36"/>
      </w:r>
      <w:r w:rsidR="002217C9" w:rsidRPr="00327458">
        <w:rPr>
          <w:rFonts w:ascii="Arial" w:hAnsi="Arial" w:cs="Arial"/>
          <w:color w:val="000000" w:themeColor="text1"/>
        </w:rPr>
        <w:t>.</w:t>
      </w:r>
    </w:p>
    <w:p w:rsidR="00EF01FC" w:rsidRPr="00327458" w:rsidRDefault="002655C0" w:rsidP="00051888">
      <w:pPr>
        <w:spacing w:after="0" w:line="360" w:lineRule="auto"/>
        <w:ind w:firstLine="708"/>
        <w:rPr>
          <w:rFonts w:ascii="Arial" w:hAnsi="Arial" w:cs="Arial"/>
          <w:color w:val="000000" w:themeColor="text1"/>
        </w:rPr>
      </w:pPr>
      <w:r w:rsidRPr="00327458">
        <w:rPr>
          <w:rFonts w:ascii="Arial" w:hAnsi="Arial" w:cs="Arial"/>
          <w:color w:val="000000" w:themeColor="text1"/>
        </w:rPr>
        <w:t>Istotną rolę w odzyskiwaniu równowagi zdrowia psychicznego odgrywa wsparcie środowiskowe (w ramach struktur rodzinnych i lokalnych).</w:t>
      </w:r>
      <w:r w:rsidR="0073041C" w:rsidRPr="00327458">
        <w:rPr>
          <w:rFonts w:ascii="Arial" w:hAnsi="Arial" w:cs="Arial"/>
          <w:color w:val="000000" w:themeColor="text1"/>
        </w:rPr>
        <w:t xml:space="preserve"> </w:t>
      </w:r>
      <w:r w:rsidR="006E654D" w:rsidRPr="00327458">
        <w:rPr>
          <w:rFonts w:ascii="Arial" w:hAnsi="Arial" w:cs="Arial"/>
          <w:color w:val="000000" w:themeColor="text1"/>
        </w:rPr>
        <w:t>W tym kierunku zmierza reforma systemu ochrony zdrowia psychicznego dzieci i młodzieży</w:t>
      </w:r>
      <w:r w:rsidR="006E654D" w:rsidRPr="00327458">
        <w:rPr>
          <w:rStyle w:val="Odwoanieprzypisudolnego"/>
          <w:rFonts w:ascii="Arial" w:hAnsi="Arial" w:cs="Arial"/>
          <w:color w:val="000000" w:themeColor="text1"/>
        </w:rPr>
        <w:footnoteReference w:id="37"/>
      </w:r>
      <w:r w:rsidR="006E654D" w:rsidRPr="00327458">
        <w:rPr>
          <w:rFonts w:ascii="Arial" w:hAnsi="Arial" w:cs="Arial"/>
          <w:color w:val="000000" w:themeColor="text1"/>
        </w:rPr>
        <w:t xml:space="preserve"> oraz </w:t>
      </w:r>
      <w:r w:rsidR="0040029D" w:rsidRPr="00327458">
        <w:rPr>
          <w:rFonts w:ascii="Arial" w:hAnsi="Arial" w:cs="Arial"/>
          <w:color w:val="000000" w:themeColor="text1"/>
        </w:rPr>
        <w:t>Pilotaż</w:t>
      </w:r>
      <w:r w:rsidR="006E654D" w:rsidRPr="00327458">
        <w:rPr>
          <w:rFonts w:ascii="Arial" w:hAnsi="Arial" w:cs="Arial"/>
          <w:color w:val="000000" w:themeColor="text1"/>
        </w:rPr>
        <w:t xml:space="preserve"> </w:t>
      </w:r>
      <w:r w:rsidR="00EC4C8A" w:rsidRPr="00327458">
        <w:rPr>
          <w:rFonts w:ascii="Arial" w:hAnsi="Arial" w:cs="Arial"/>
          <w:color w:val="000000" w:themeColor="text1"/>
        </w:rPr>
        <w:t>Cent</w:t>
      </w:r>
      <w:r w:rsidR="0040029D" w:rsidRPr="00327458">
        <w:rPr>
          <w:rFonts w:ascii="Arial" w:hAnsi="Arial" w:cs="Arial"/>
          <w:color w:val="000000" w:themeColor="text1"/>
        </w:rPr>
        <w:t>rów</w:t>
      </w:r>
      <w:r w:rsidR="00EC4C8A" w:rsidRPr="00327458">
        <w:rPr>
          <w:rFonts w:ascii="Arial" w:hAnsi="Arial" w:cs="Arial"/>
          <w:color w:val="000000" w:themeColor="text1"/>
        </w:rPr>
        <w:t xml:space="preserve"> Zdrowia Psychicznego</w:t>
      </w:r>
      <w:r w:rsidR="00235252" w:rsidRPr="00327458">
        <w:rPr>
          <w:rFonts w:ascii="Arial" w:hAnsi="Arial" w:cs="Arial"/>
          <w:color w:val="000000" w:themeColor="text1"/>
        </w:rPr>
        <w:t xml:space="preserve"> (CZ</w:t>
      </w:r>
      <w:r w:rsidR="00750293" w:rsidRPr="00327458">
        <w:rPr>
          <w:rFonts w:ascii="Arial" w:hAnsi="Arial" w:cs="Arial"/>
          <w:color w:val="000000" w:themeColor="text1"/>
        </w:rPr>
        <w:t>P</w:t>
      </w:r>
      <w:r w:rsidR="00235252" w:rsidRPr="00327458">
        <w:rPr>
          <w:rFonts w:ascii="Arial" w:hAnsi="Arial" w:cs="Arial"/>
          <w:color w:val="000000" w:themeColor="text1"/>
        </w:rPr>
        <w:t>)</w:t>
      </w:r>
      <w:r w:rsidR="0040029D" w:rsidRPr="00327458">
        <w:rPr>
          <w:rStyle w:val="Odwoanieprzypisudolnego"/>
          <w:rFonts w:ascii="Arial" w:hAnsi="Arial" w:cs="Arial"/>
          <w:color w:val="000000" w:themeColor="text1"/>
        </w:rPr>
        <w:footnoteReference w:id="38"/>
      </w:r>
      <w:r w:rsidR="00EC4C8A" w:rsidRPr="00327458">
        <w:rPr>
          <w:rFonts w:ascii="Arial" w:hAnsi="Arial" w:cs="Arial"/>
          <w:color w:val="000000" w:themeColor="text1"/>
        </w:rPr>
        <w:t>.</w:t>
      </w:r>
      <w:r w:rsidR="00051888">
        <w:rPr>
          <w:rFonts w:ascii="Arial" w:hAnsi="Arial" w:cs="Arial"/>
          <w:color w:val="000000" w:themeColor="text1"/>
        </w:rPr>
        <w:t xml:space="preserve"> </w:t>
      </w:r>
      <w:r w:rsidR="00EF01FC" w:rsidRPr="00327458">
        <w:rPr>
          <w:rFonts w:ascii="Arial" w:hAnsi="Arial" w:cs="Arial"/>
          <w:color w:val="000000" w:themeColor="text1"/>
        </w:rPr>
        <w:t>Aktualnie trwająca reforma w zakresie systemu ochrony zdrowia psychicznego dzieci i młodzieży wprowadza nowy model opieki składający się z trzech poziomów referencyjnych</w:t>
      </w:r>
      <w:r w:rsidR="00EF01FC" w:rsidRPr="00327458">
        <w:rPr>
          <w:rStyle w:val="Odwoanieprzypisudolnego"/>
          <w:rFonts w:ascii="Arial" w:hAnsi="Arial" w:cs="Arial"/>
          <w:color w:val="000000" w:themeColor="text1"/>
        </w:rPr>
        <w:footnoteReference w:id="39"/>
      </w:r>
      <w:r w:rsidR="00EF01FC" w:rsidRPr="00327458">
        <w:rPr>
          <w:rFonts w:ascii="Arial" w:hAnsi="Arial" w:cs="Arial"/>
          <w:color w:val="000000" w:themeColor="text1"/>
        </w:rPr>
        <w:t>.</w:t>
      </w:r>
      <w:r w:rsidR="0027561E" w:rsidRPr="00327458">
        <w:rPr>
          <w:rFonts w:ascii="Arial" w:hAnsi="Arial" w:cs="Arial"/>
          <w:color w:val="000000" w:themeColor="text1"/>
        </w:rPr>
        <w:t xml:space="preserve"> </w:t>
      </w:r>
      <w:r w:rsidR="00EF01FC" w:rsidRPr="00327458">
        <w:rPr>
          <w:rFonts w:ascii="Arial" w:hAnsi="Arial" w:cs="Arial"/>
          <w:color w:val="000000" w:themeColor="text1"/>
        </w:rPr>
        <w:t>Od kwietnia 2020 roku w ramach I poziomu referencyjności rozpoczęły swoją działalność pierwsze poradnie psychologiczno</w:t>
      </w:r>
      <w:r w:rsidR="00051888">
        <w:rPr>
          <w:rFonts w:ascii="Arial" w:hAnsi="Arial" w:cs="Arial"/>
          <w:color w:val="000000" w:themeColor="text1"/>
        </w:rPr>
        <w:t>-</w:t>
      </w:r>
      <w:r w:rsidR="00EF01FC" w:rsidRPr="00327458">
        <w:rPr>
          <w:rFonts w:ascii="Arial" w:hAnsi="Arial" w:cs="Arial"/>
          <w:color w:val="000000" w:themeColor="text1"/>
        </w:rPr>
        <w:t>psychoterapeutyczne w</w:t>
      </w:r>
      <w:r w:rsidR="00051888">
        <w:rPr>
          <w:rFonts w:ascii="Arial" w:hAnsi="Arial" w:cs="Arial"/>
          <w:color w:val="000000" w:themeColor="text1"/>
        </w:rPr>
        <w:t> </w:t>
      </w:r>
      <w:r w:rsidR="00EF01FC" w:rsidRPr="00327458">
        <w:rPr>
          <w:rFonts w:ascii="Arial" w:hAnsi="Arial" w:cs="Arial"/>
          <w:color w:val="000000" w:themeColor="text1"/>
        </w:rPr>
        <w:t xml:space="preserve">województwie. Stanowią one fundament ogólnokrajowego, kompleksowego systemu zapewniającego wsparcie dzieciom i młodzieży do 21 r.ż. doświadczającym kryzysu psychicznego oraz ich rodzinom. Według stanu na luty 2023 r. w województwie zakontraktowanych jest 27 ośrodków I poziomu referencyjnego, 5 Centrów Zdrowia Psychicznego dla dzieci i młodzieży – poradnia zdrowia psychicznego II poziomu referencyjnego, 1 Centrum Zdrowia Psychicznego dla dzieci i młodzieży II poziomu referencyjnego (poradnia zdrowia psychicznego z oddziałem dziennym) oraz 2 Ośrodki </w:t>
      </w:r>
      <w:r w:rsidR="00EF01FC" w:rsidRPr="00327458">
        <w:rPr>
          <w:rFonts w:ascii="Arial" w:hAnsi="Arial" w:cs="Arial"/>
          <w:color w:val="000000" w:themeColor="text1"/>
        </w:rPr>
        <w:lastRenderedPageBreak/>
        <w:t>Wysokospecjalistyczne Całodobowej Opieki Psychiatrycznej III poziomu referencyjnego mieszczące się w szpitalach psychiatrycznych w Gdańsku i Starogardzie Gdańskim.</w:t>
      </w:r>
    </w:p>
    <w:p w:rsidR="00A8784B" w:rsidRDefault="00235252" w:rsidP="00A3228B">
      <w:pPr>
        <w:spacing w:after="0" w:line="360" w:lineRule="auto"/>
        <w:ind w:firstLine="708"/>
        <w:rPr>
          <w:rFonts w:ascii="Arial" w:hAnsi="Arial" w:cs="Arial"/>
          <w:color w:val="000000" w:themeColor="text1"/>
        </w:rPr>
      </w:pPr>
      <w:r w:rsidRPr="00327458">
        <w:rPr>
          <w:rFonts w:ascii="Arial" w:hAnsi="Arial" w:cs="Arial"/>
          <w:color w:val="000000" w:themeColor="text1"/>
        </w:rPr>
        <w:t>Pilotaż C</w:t>
      </w:r>
      <w:r w:rsidR="00750293" w:rsidRPr="00327458">
        <w:rPr>
          <w:rFonts w:ascii="Arial" w:hAnsi="Arial" w:cs="Arial"/>
          <w:color w:val="000000" w:themeColor="text1"/>
        </w:rPr>
        <w:t>ZP jest realizowany od 1 lipca 2018 r. i powinien zakończyć się nie później niż 31 grudnia 2023</w:t>
      </w:r>
      <w:r w:rsidR="006D6E8B" w:rsidRPr="00327458">
        <w:rPr>
          <w:rStyle w:val="Odwoanieprzypisudolnego"/>
          <w:rFonts w:ascii="Arial" w:hAnsi="Arial" w:cs="Arial"/>
          <w:color w:val="000000" w:themeColor="text1"/>
        </w:rPr>
        <w:footnoteReference w:id="40"/>
      </w:r>
      <w:r w:rsidR="00750293" w:rsidRPr="00327458">
        <w:rPr>
          <w:rFonts w:ascii="Arial" w:hAnsi="Arial" w:cs="Arial"/>
          <w:color w:val="000000" w:themeColor="text1"/>
        </w:rPr>
        <w:t>. Według stanu na 13 lutego 2023 r. w Polsce funkcjonują 72 Centra, a</w:t>
      </w:r>
      <w:r w:rsidR="00A8784B">
        <w:rPr>
          <w:rFonts w:ascii="Arial" w:hAnsi="Arial" w:cs="Arial"/>
          <w:color w:val="000000" w:themeColor="text1"/>
        </w:rPr>
        <w:t> </w:t>
      </w:r>
      <w:r w:rsidR="00750293" w:rsidRPr="00327458">
        <w:rPr>
          <w:rFonts w:ascii="Arial" w:hAnsi="Arial" w:cs="Arial"/>
          <w:color w:val="000000" w:themeColor="text1"/>
        </w:rPr>
        <w:t xml:space="preserve">w województwie pomorskim jest ich 4: </w:t>
      </w:r>
      <w:r w:rsidR="00F63242" w:rsidRPr="00327458">
        <w:rPr>
          <w:rFonts w:ascii="Arial" w:hAnsi="Arial" w:cs="Arial"/>
          <w:color w:val="000000" w:themeColor="text1"/>
        </w:rPr>
        <w:t>w Starogardzie Gdańskim, Człuchowie, Słupsku oraz Kościerzynie</w:t>
      </w:r>
      <w:r w:rsidR="00F63242" w:rsidRPr="00327458">
        <w:rPr>
          <w:rStyle w:val="Odwoanieprzypisudolnego"/>
          <w:rFonts w:ascii="Arial" w:hAnsi="Arial" w:cs="Arial"/>
          <w:color w:val="000000" w:themeColor="text1"/>
        </w:rPr>
        <w:footnoteReference w:id="41"/>
      </w:r>
      <w:r w:rsidR="00F63242" w:rsidRPr="00327458">
        <w:rPr>
          <w:rFonts w:ascii="Arial" w:hAnsi="Arial" w:cs="Arial"/>
          <w:color w:val="000000" w:themeColor="text1"/>
        </w:rPr>
        <w:t>.</w:t>
      </w:r>
      <w:r w:rsidR="00B413DE" w:rsidRPr="00327458">
        <w:rPr>
          <w:rFonts w:ascii="Arial" w:hAnsi="Arial" w:cs="Arial"/>
          <w:color w:val="000000" w:themeColor="text1"/>
        </w:rPr>
        <w:t xml:space="preserve"> </w:t>
      </w:r>
      <w:r w:rsidR="00805F78" w:rsidRPr="00327458">
        <w:rPr>
          <w:rFonts w:ascii="Arial" w:hAnsi="Arial" w:cs="Arial"/>
          <w:color w:val="000000" w:themeColor="text1"/>
        </w:rPr>
        <w:t>W 2021 r. działały jednak dwa z wymienionych CZP</w:t>
      </w:r>
      <w:r w:rsidR="00872816">
        <w:rPr>
          <w:rFonts w:ascii="Arial" w:hAnsi="Arial" w:cs="Arial"/>
          <w:color w:val="000000" w:themeColor="text1"/>
        </w:rPr>
        <w:t xml:space="preserve"> (</w:t>
      </w:r>
      <w:r w:rsidR="00805F78" w:rsidRPr="00327458">
        <w:rPr>
          <w:rFonts w:ascii="Arial" w:hAnsi="Arial" w:cs="Arial"/>
          <w:color w:val="000000" w:themeColor="text1"/>
        </w:rPr>
        <w:t>w Słupsku i</w:t>
      </w:r>
      <w:r w:rsidR="00A8784B">
        <w:rPr>
          <w:rFonts w:ascii="Arial" w:hAnsi="Arial" w:cs="Arial"/>
          <w:color w:val="000000" w:themeColor="text1"/>
        </w:rPr>
        <w:t> </w:t>
      </w:r>
      <w:r w:rsidR="00805F78" w:rsidRPr="00327458">
        <w:rPr>
          <w:rFonts w:ascii="Arial" w:hAnsi="Arial" w:cs="Arial"/>
          <w:color w:val="000000" w:themeColor="text1"/>
        </w:rPr>
        <w:t>Kościerzynie</w:t>
      </w:r>
      <w:r w:rsidR="00872816">
        <w:rPr>
          <w:rFonts w:ascii="Arial" w:hAnsi="Arial" w:cs="Arial"/>
          <w:color w:val="000000" w:themeColor="text1"/>
        </w:rPr>
        <w:t>),</w:t>
      </w:r>
      <w:r w:rsidR="00805F78" w:rsidRPr="00327458">
        <w:rPr>
          <w:rFonts w:ascii="Arial" w:hAnsi="Arial" w:cs="Arial"/>
          <w:color w:val="000000" w:themeColor="text1"/>
        </w:rPr>
        <w:t xml:space="preserve"> z których świadczeń skorzystało 19,3 tys. osób z obszaru działania CZP oraz</w:t>
      </w:r>
      <w:r w:rsidR="00A8784B">
        <w:rPr>
          <w:rFonts w:ascii="Arial" w:hAnsi="Arial" w:cs="Arial"/>
          <w:color w:val="000000" w:themeColor="text1"/>
        </w:rPr>
        <w:t> </w:t>
      </w:r>
      <w:r w:rsidR="00805F78" w:rsidRPr="00327458">
        <w:rPr>
          <w:rFonts w:ascii="Arial" w:hAnsi="Arial" w:cs="Arial"/>
          <w:color w:val="000000" w:themeColor="text1"/>
        </w:rPr>
        <w:t>2,0 tys. osób spoza niego – było to odpowiednio o 6,5% i 4,1% więcej niż w 2020</w:t>
      </w:r>
      <w:r w:rsidR="00BE0EAE" w:rsidRPr="00327458">
        <w:rPr>
          <w:rFonts w:ascii="Arial" w:hAnsi="Arial" w:cs="Arial"/>
          <w:color w:val="000000" w:themeColor="text1"/>
        </w:rPr>
        <w:t xml:space="preserve"> </w:t>
      </w:r>
      <w:r w:rsidR="00805F78" w:rsidRPr="00327458">
        <w:rPr>
          <w:rFonts w:ascii="Arial" w:hAnsi="Arial" w:cs="Arial"/>
          <w:color w:val="000000" w:themeColor="text1"/>
        </w:rPr>
        <w:t>r</w:t>
      </w:r>
      <w:r w:rsidR="00BE0EAE" w:rsidRPr="00327458">
        <w:rPr>
          <w:rFonts w:ascii="Arial" w:hAnsi="Arial" w:cs="Arial"/>
          <w:color w:val="000000" w:themeColor="text1"/>
        </w:rPr>
        <w:t>.</w:t>
      </w:r>
      <w:r w:rsidR="00687591" w:rsidRPr="00327458">
        <w:rPr>
          <w:rStyle w:val="Odwoanieprzypisudolnego"/>
          <w:rFonts w:ascii="Arial" w:hAnsi="Arial" w:cs="Arial"/>
          <w:color w:val="000000" w:themeColor="text1"/>
        </w:rPr>
        <w:footnoteReference w:id="42"/>
      </w:r>
      <w:r w:rsidR="00805F78" w:rsidRPr="00327458">
        <w:rPr>
          <w:rFonts w:ascii="Arial" w:hAnsi="Arial" w:cs="Arial"/>
          <w:color w:val="000000" w:themeColor="text1"/>
        </w:rPr>
        <w:t>.</w:t>
      </w:r>
      <w:r w:rsidR="00257348" w:rsidRPr="00327458">
        <w:rPr>
          <w:rFonts w:ascii="Arial" w:hAnsi="Arial" w:cs="Arial"/>
          <w:color w:val="000000" w:themeColor="text1"/>
        </w:rPr>
        <w:t xml:space="preserve"> Średnia liczba</w:t>
      </w:r>
      <w:r w:rsidR="007A7D2B" w:rsidRPr="00327458">
        <w:rPr>
          <w:rFonts w:ascii="Arial" w:hAnsi="Arial" w:cs="Arial"/>
          <w:color w:val="000000" w:themeColor="text1"/>
        </w:rPr>
        <w:t xml:space="preserve"> dni od zgłoszenia się świadczeniobiorcy do P</w:t>
      </w:r>
      <w:r w:rsidR="00B26AD8" w:rsidRPr="00327458">
        <w:rPr>
          <w:rFonts w:ascii="Arial" w:hAnsi="Arial" w:cs="Arial"/>
          <w:color w:val="000000" w:themeColor="text1"/>
        </w:rPr>
        <w:t xml:space="preserve">unktu </w:t>
      </w:r>
      <w:r w:rsidR="007A7D2B" w:rsidRPr="00327458">
        <w:rPr>
          <w:rFonts w:ascii="Arial" w:hAnsi="Arial" w:cs="Arial"/>
          <w:color w:val="000000" w:themeColor="text1"/>
        </w:rPr>
        <w:t>Z</w:t>
      </w:r>
      <w:r w:rsidR="00B26AD8" w:rsidRPr="00327458">
        <w:rPr>
          <w:rFonts w:ascii="Arial" w:hAnsi="Arial" w:cs="Arial"/>
          <w:color w:val="000000" w:themeColor="text1"/>
        </w:rPr>
        <w:t>głoszeniowo-</w:t>
      </w:r>
      <w:r w:rsidR="007A7D2B" w:rsidRPr="00327458">
        <w:rPr>
          <w:rFonts w:ascii="Arial" w:hAnsi="Arial" w:cs="Arial"/>
          <w:color w:val="000000" w:themeColor="text1"/>
        </w:rPr>
        <w:t>K</w:t>
      </w:r>
      <w:r w:rsidR="00B26AD8" w:rsidRPr="00327458">
        <w:rPr>
          <w:rFonts w:ascii="Arial" w:hAnsi="Arial" w:cs="Arial"/>
          <w:color w:val="000000" w:themeColor="text1"/>
        </w:rPr>
        <w:t>oordynacyjnego</w:t>
      </w:r>
      <w:r w:rsidR="007A7D2B" w:rsidRPr="00327458">
        <w:rPr>
          <w:rFonts w:ascii="Arial" w:hAnsi="Arial" w:cs="Arial"/>
          <w:color w:val="000000" w:themeColor="text1"/>
        </w:rPr>
        <w:t xml:space="preserve"> do kontaktu z lekarzem zapoczątkowującego proces diagnostyczny oraz plan terapii</w:t>
      </w:r>
      <w:r w:rsidR="00257348" w:rsidRPr="00327458">
        <w:rPr>
          <w:rFonts w:ascii="Arial" w:hAnsi="Arial" w:cs="Arial"/>
          <w:color w:val="000000" w:themeColor="text1"/>
        </w:rPr>
        <w:t xml:space="preserve"> we wspomnianym okresie wyniosła 10 w przypadku świadczeniobiorców z</w:t>
      </w:r>
      <w:r w:rsidR="00E51F38" w:rsidRPr="00327458">
        <w:rPr>
          <w:rFonts w:ascii="Arial" w:hAnsi="Arial" w:cs="Arial"/>
          <w:color w:val="000000" w:themeColor="text1"/>
        </w:rPr>
        <w:t> </w:t>
      </w:r>
      <w:r w:rsidR="00257348" w:rsidRPr="00327458">
        <w:rPr>
          <w:rFonts w:ascii="Arial" w:hAnsi="Arial" w:cs="Arial"/>
          <w:color w:val="000000" w:themeColor="text1"/>
        </w:rPr>
        <w:t>obszaru CZP oraz 4 dla osób spoza.</w:t>
      </w:r>
    </w:p>
    <w:p w:rsidR="00A3228B" w:rsidRPr="00327458" w:rsidRDefault="00C2141A" w:rsidP="00A3228B">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Istotne z perspektywy deinstytucjonalizacji usług społecznych i zdrowotnych są dane dotyczące świadczeń domowych oraz środowiskowych. </w:t>
      </w:r>
      <w:r w:rsidR="002B3B1F" w:rsidRPr="00327458">
        <w:rPr>
          <w:rFonts w:ascii="Arial" w:hAnsi="Arial" w:cs="Arial"/>
          <w:color w:val="000000" w:themeColor="text1"/>
        </w:rPr>
        <w:t xml:space="preserve">W ramach świadczeń domowych/ambulatoryjnych udzielanych poza miejscem udzielania świadczeń opieki zdrowotnej na rzecz świadczeniobiorców z obszaru CZP </w:t>
      </w:r>
      <w:r w:rsidR="007205E2" w:rsidRPr="00327458">
        <w:rPr>
          <w:rFonts w:ascii="Arial" w:hAnsi="Arial" w:cs="Arial"/>
          <w:color w:val="000000" w:themeColor="text1"/>
        </w:rPr>
        <w:t xml:space="preserve">w 2021 r. </w:t>
      </w:r>
      <w:r w:rsidR="002B3B1F" w:rsidRPr="00327458">
        <w:rPr>
          <w:rFonts w:ascii="Arial" w:hAnsi="Arial" w:cs="Arial"/>
          <w:color w:val="000000" w:themeColor="text1"/>
        </w:rPr>
        <w:t xml:space="preserve">zrealizowano: </w:t>
      </w:r>
      <w:r w:rsidR="000E29F8" w:rsidRPr="00327458">
        <w:rPr>
          <w:rFonts w:ascii="Arial" w:hAnsi="Arial" w:cs="Arial"/>
          <w:color w:val="000000" w:themeColor="text1"/>
        </w:rPr>
        <w:t>511</w:t>
      </w:r>
      <w:r w:rsidR="002B3B1F" w:rsidRPr="00327458">
        <w:rPr>
          <w:rFonts w:ascii="Arial" w:hAnsi="Arial" w:cs="Arial"/>
          <w:color w:val="000000" w:themeColor="text1"/>
        </w:rPr>
        <w:t xml:space="preserve"> wizyt (+48,1% vs. 2020</w:t>
      </w:r>
      <w:r w:rsidR="00C52184">
        <w:rPr>
          <w:rFonts w:ascii="Arial" w:hAnsi="Arial" w:cs="Arial"/>
          <w:color w:val="000000" w:themeColor="text1"/>
        </w:rPr>
        <w:t xml:space="preserve"> </w:t>
      </w:r>
      <w:r w:rsidR="002B3B1F" w:rsidRPr="00327458">
        <w:rPr>
          <w:rFonts w:ascii="Arial" w:hAnsi="Arial" w:cs="Arial"/>
          <w:color w:val="000000" w:themeColor="text1"/>
        </w:rPr>
        <w:t>r.), 2,2 tys. porad (-71,9% vs. 202</w:t>
      </w:r>
      <w:r w:rsidR="008657C8" w:rsidRPr="00327458">
        <w:rPr>
          <w:rFonts w:ascii="Arial" w:hAnsi="Arial" w:cs="Arial"/>
          <w:color w:val="000000" w:themeColor="text1"/>
        </w:rPr>
        <w:t>0</w:t>
      </w:r>
      <w:r w:rsidR="00C52184">
        <w:rPr>
          <w:rFonts w:ascii="Arial" w:hAnsi="Arial" w:cs="Arial"/>
          <w:color w:val="000000" w:themeColor="text1"/>
        </w:rPr>
        <w:t xml:space="preserve"> </w:t>
      </w:r>
      <w:r w:rsidR="002B3B1F" w:rsidRPr="00327458">
        <w:rPr>
          <w:rFonts w:ascii="Arial" w:hAnsi="Arial" w:cs="Arial"/>
          <w:color w:val="000000" w:themeColor="text1"/>
        </w:rPr>
        <w:t>r.)</w:t>
      </w:r>
      <w:r w:rsidR="00E725DF" w:rsidRPr="00327458">
        <w:rPr>
          <w:rFonts w:ascii="Arial" w:hAnsi="Arial" w:cs="Arial"/>
          <w:color w:val="000000" w:themeColor="text1"/>
        </w:rPr>
        <w:t>, nie o</w:t>
      </w:r>
      <w:r w:rsidR="00545252" w:rsidRPr="00327458">
        <w:rPr>
          <w:rFonts w:ascii="Arial" w:hAnsi="Arial" w:cs="Arial"/>
          <w:color w:val="000000" w:themeColor="text1"/>
        </w:rPr>
        <w:t>d</w:t>
      </w:r>
      <w:r w:rsidR="00E725DF" w:rsidRPr="00327458">
        <w:rPr>
          <w:rFonts w:ascii="Arial" w:hAnsi="Arial" w:cs="Arial"/>
          <w:color w:val="000000" w:themeColor="text1"/>
        </w:rPr>
        <w:t>były się sesje (</w:t>
      </w:r>
      <w:r w:rsidR="000E29F8" w:rsidRPr="00327458">
        <w:rPr>
          <w:rFonts w:ascii="Arial" w:hAnsi="Arial" w:cs="Arial"/>
          <w:color w:val="000000" w:themeColor="text1"/>
        </w:rPr>
        <w:t xml:space="preserve">w </w:t>
      </w:r>
      <w:r w:rsidR="00E725DF" w:rsidRPr="00327458">
        <w:rPr>
          <w:rFonts w:ascii="Arial" w:hAnsi="Arial" w:cs="Arial"/>
          <w:color w:val="000000" w:themeColor="text1"/>
        </w:rPr>
        <w:t>2020</w:t>
      </w:r>
      <w:r w:rsidR="00C52184">
        <w:rPr>
          <w:rFonts w:ascii="Arial" w:hAnsi="Arial" w:cs="Arial"/>
          <w:color w:val="000000" w:themeColor="text1"/>
        </w:rPr>
        <w:t xml:space="preserve"> </w:t>
      </w:r>
      <w:r w:rsidR="00E725DF" w:rsidRPr="00327458">
        <w:rPr>
          <w:rFonts w:ascii="Arial" w:hAnsi="Arial" w:cs="Arial"/>
          <w:color w:val="000000" w:themeColor="text1"/>
        </w:rPr>
        <w:t>r.</w:t>
      </w:r>
      <w:r w:rsidR="000E29F8" w:rsidRPr="00327458">
        <w:rPr>
          <w:rFonts w:ascii="Arial" w:hAnsi="Arial" w:cs="Arial"/>
          <w:color w:val="000000" w:themeColor="text1"/>
        </w:rPr>
        <w:t xml:space="preserve"> było ich 708</w:t>
      </w:r>
      <w:r w:rsidR="00E725DF" w:rsidRPr="00327458">
        <w:rPr>
          <w:rFonts w:ascii="Arial" w:hAnsi="Arial" w:cs="Arial"/>
          <w:color w:val="000000" w:themeColor="text1"/>
        </w:rPr>
        <w:t>) ani interwencje (bez zmian vs. 2020</w:t>
      </w:r>
      <w:r w:rsidR="00C52184">
        <w:rPr>
          <w:rFonts w:ascii="Arial" w:hAnsi="Arial" w:cs="Arial"/>
          <w:color w:val="000000" w:themeColor="text1"/>
        </w:rPr>
        <w:t xml:space="preserve"> </w:t>
      </w:r>
      <w:r w:rsidR="00E725DF" w:rsidRPr="00327458">
        <w:rPr>
          <w:rFonts w:ascii="Arial" w:hAnsi="Arial" w:cs="Arial"/>
          <w:color w:val="000000" w:themeColor="text1"/>
        </w:rPr>
        <w:t>r.).</w:t>
      </w:r>
      <w:r w:rsidR="008657C8" w:rsidRPr="00327458">
        <w:rPr>
          <w:rFonts w:ascii="Arial" w:hAnsi="Arial" w:cs="Arial"/>
          <w:color w:val="000000" w:themeColor="text1"/>
        </w:rPr>
        <w:t xml:space="preserve"> W przypadku świadczeń środowiskowych na rzecz pacjentów z obszaru CZP zrealizowano w 2021 r.: 1,7 tys. wizyt (+43,3% vs. 2020 r.), 7,4 tys. porad (+54,1% vs. 2020 r.), 7,5 tys. interwencji (+ 411,2% vs. 2020 r.), nie odbyła się żadna sesja (bez zmian vs. 2020 r.).</w:t>
      </w:r>
      <w:r w:rsidR="008C21D9" w:rsidRPr="00327458">
        <w:rPr>
          <w:rFonts w:ascii="Arial" w:hAnsi="Arial" w:cs="Arial"/>
          <w:color w:val="000000" w:themeColor="text1"/>
        </w:rPr>
        <w:t xml:space="preserve"> </w:t>
      </w:r>
      <w:r w:rsidR="00985B00" w:rsidRPr="00327458">
        <w:rPr>
          <w:rFonts w:ascii="Arial" w:hAnsi="Arial" w:cs="Arial"/>
          <w:color w:val="000000" w:themeColor="text1"/>
        </w:rPr>
        <w:t>W analizowanym okresie liczba przyjęć na</w:t>
      </w:r>
      <w:r w:rsidR="00C52184">
        <w:rPr>
          <w:rFonts w:ascii="Arial" w:hAnsi="Arial" w:cs="Arial"/>
          <w:color w:val="000000" w:themeColor="text1"/>
        </w:rPr>
        <w:t> </w:t>
      </w:r>
      <w:r w:rsidR="00985B00" w:rsidRPr="00327458">
        <w:rPr>
          <w:rFonts w:ascii="Arial" w:hAnsi="Arial" w:cs="Arial"/>
          <w:color w:val="000000" w:themeColor="text1"/>
        </w:rPr>
        <w:t xml:space="preserve">oddział dzienny psychiatryczny </w:t>
      </w:r>
      <w:r w:rsidR="002B7695" w:rsidRPr="00327458">
        <w:rPr>
          <w:rFonts w:ascii="Arial" w:hAnsi="Arial" w:cs="Arial"/>
          <w:color w:val="000000" w:themeColor="text1"/>
        </w:rPr>
        <w:t>wzrosła z 130 do 287 (+120,8%), zaś liczba pobytów/hospitalizacji z 138 do 533 (+286,2%).</w:t>
      </w:r>
    </w:p>
    <w:p w:rsidR="00A3228B" w:rsidRPr="00327458" w:rsidRDefault="00A3228B" w:rsidP="00A3228B">
      <w:pPr>
        <w:spacing w:after="0" w:line="360" w:lineRule="auto"/>
        <w:ind w:firstLine="708"/>
        <w:rPr>
          <w:rFonts w:ascii="Arial" w:hAnsi="Arial" w:cs="Arial"/>
          <w:color w:val="000000" w:themeColor="text1"/>
        </w:rPr>
      </w:pPr>
      <w:r w:rsidRPr="00327458">
        <w:rPr>
          <w:rFonts w:ascii="Arial" w:hAnsi="Arial" w:cs="Arial"/>
          <w:color w:val="000000" w:themeColor="text1"/>
        </w:rPr>
        <w:t>W konkluzjach raportu „Ocena potrzeb w zakresie rozwoju usług społecznych i</w:t>
      </w:r>
      <w:r w:rsidR="00E51F38" w:rsidRPr="00327458">
        <w:rPr>
          <w:rFonts w:ascii="Arial" w:hAnsi="Arial" w:cs="Arial"/>
          <w:color w:val="000000" w:themeColor="text1"/>
        </w:rPr>
        <w:t> </w:t>
      </w:r>
      <w:r w:rsidRPr="00327458">
        <w:rPr>
          <w:rFonts w:ascii="Arial" w:hAnsi="Arial" w:cs="Arial"/>
          <w:color w:val="000000" w:themeColor="text1"/>
        </w:rPr>
        <w:t>infrastruktury społecznej w województwie pomorskim”</w:t>
      </w:r>
      <w:r w:rsidRPr="00327458">
        <w:rPr>
          <w:rStyle w:val="Odwoanieprzypisudolnego"/>
          <w:rFonts w:ascii="Arial" w:hAnsi="Arial" w:cs="Arial"/>
          <w:color w:val="000000" w:themeColor="text1"/>
        </w:rPr>
        <w:footnoteReference w:id="43"/>
      </w:r>
      <w:r w:rsidRPr="00327458">
        <w:rPr>
          <w:rFonts w:ascii="Arial" w:hAnsi="Arial" w:cs="Arial"/>
          <w:color w:val="000000" w:themeColor="text1"/>
        </w:rPr>
        <w:t xml:space="preserve"> zaznaczono konieczność rozwijania specjalistycznych usług opiekuńczych, w tym intensyfikacji ich świadczenia, powodując zmniejszenie skali umieszczeń w DPS oraz odciążenie opiekunów sprawujących opiekę nad tymi osobami.</w:t>
      </w:r>
    </w:p>
    <w:p w:rsidR="00AE42B7" w:rsidRPr="00327458" w:rsidRDefault="00AE42B7" w:rsidP="00AE42B7">
      <w:pPr>
        <w:pStyle w:val="Nagwek3"/>
        <w:spacing w:before="100" w:beforeAutospacing="1" w:after="100" w:afterAutospacing="1"/>
        <w:rPr>
          <w:rFonts w:cs="Arial"/>
          <w:color w:val="000000" w:themeColor="text1"/>
        </w:rPr>
      </w:pPr>
      <w:r w:rsidRPr="00327458">
        <w:rPr>
          <w:rFonts w:cs="Arial"/>
          <w:color w:val="000000" w:themeColor="text1"/>
        </w:rPr>
        <w:t>Wnioski</w:t>
      </w:r>
    </w:p>
    <w:p w:rsidR="00780FEA" w:rsidRPr="00327458" w:rsidRDefault="00E94231" w:rsidP="00BD5917">
      <w:pPr>
        <w:spacing w:after="0" w:line="360" w:lineRule="auto"/>
        <w:rPr>
          <w:rFonts w:ascii="Arial" w:hAnsi="Arial" w:cs="Arial"/>
          <w:color w:val="000000" w:themeColor="text1"/>
        </w:rPr>
      </w:pPr>
      <w:r w:rsidRPr="00327458">
        <w:rPr>
          <w:rFonts w:ascii="Arial" w:hAnsi="Arial" w:cs="Arial"/>
          <w:color w:val="000000" w:themeColor="text1"/>
        </w:rPr>
        <w:t>R</w:t>
      </w:r>
      <w:r w:rsidR="009D0E18" w:rsidRPr="00327458">
        <w:rPr>
          <w:rFonts w:ascii="Arial" w:hAnsi="Arial" w:cs="Arial"/>
          <w:color w:val="000000" w:themeColor="text1"/>
        </w:rPr>
        <w:t>ozwój i deinstytucjonalizacja usług społecznych i zdrowotnych skierowanych do</w:t>
      </w:r>
      <w:r w:rsidR="007B2AA0" w:rsidRPr="00327458">
        <w:rPr>
          <w:rFonts w:ascii="Arial" w:hAnsi="Arial" w:cs="Arial"/>
          <w:color w:val="000000" w:themeColor="text1"/>
        </w:rPr>
        <w:t> </w:t>
      </w:r>
      <w:r w:rsidR="009D0E18" w:rsidRPr="00327458">
        <w:rPr>
          <w:rFonts w:ascii="Arial" w:hAnsi="Arial" w:cs="Arial"/>
          <w:color w:val="000000" w:themeColor="text1"/>
        </w:rPr>
        <w:t xml:space="preserve">osób </w:t>
      </w:r>
      <w:r w:rsidR="0021059B" w:rsidRPr="00327458">
        <w:rPr>
          <w:rFonts w:ascii="Arial" w:hAnsi="Arial" w:cs="Arial"/>
          <w:color w:val="000000" w:themeColor="text1"/>
        </w:rPr>
        <w:t>z</w:t>
      </w:r>
      <w:r w:rsidR="00E11316" w:rsidRPr="00327458">
        <w:rPr>
          <w:rFonts w:ascii="Arial" w:hAnsi="Arial" w:cs="Arial"/>
          <w:color w:val="000000" w:themeColor="text1"/>
        </w:rPr>
        <w:t> </w:t>
      </w:r>
      <w:r w:rsidR="0021059B" w:rsidRPr="00327458">
        <w:rPr>
          <w:rFonts w:ascii="Arial" w:hAnsi="Arial" w:cs="Arial"/>
          <w:color w:val="000000" w:themeColor="text1"/>
        </w:rPr>
        <w:t xml:space="preserve">zaburzeniami psychicznymi i </w:t>
      </w:r>
      <w:r w:rsidR="009D0E18" w:rsidRPr="00327458">
        <w:rPr>
          <w:rFonts w:ascii="Arial" w:hAnsi="Arial" w:cs="Arial"/>
          <w:color w:val="000000" w:themeColor="text1"/>
        </w:rPr>
        <w:t xml:space="preserve">w kryzysie psychicznym powinna obejmować ich rozwój </w:t>
      </w:r>
      <w:r w:rsidR="009D0E18" w:rsidRPr="00327458">
        <w:rPr>
          <w:rFonts w:ascii="Arial" w:hAnsi="Arial" w:cs="Arial"/>
          <w:color w:val="000000" w:themeColor="text1"/>
        </w:rPr>
        <w:lastRenderedPageBreak/>
        <w:t>i</w:t>
      </w:r>
      <w:r w:rsidR="00E11316" w:rsidRPr="00327458">
        <w:rPr>
          <w:rFonts w:ascii="Arial" w:hAnsi="Arial" w:cs="Arial"/>
          <w:color w:val="000000" w:themeColor="text1"/>
        </w:rPr>
        <w:t> </w:t>
      </w:r>
      <w:r w:rsidR="009D0E18" w:rsidRPr="00327458">
        <w:rPr>
          <w:rFonts w:ascii="Arial" w:hAnsi="Arial" w:cs="Arial"/>
          <w:color w:val="000000" w:themeColor="text1"/>
        </w:rPr>
        <w:t>zintegrowanie na poziomie środowisk lokalnych, by</w:t>
      </w:r>
      <w:r w:rsidR="0021059B" w:rsidRPr="00327458">
        <w:rPr>
          <w:rFonts w:ascii="Arial" w:hAnsi="Arial" w:cs="Arial"/>
          <w:color w:val="000000" w:themeColor="text1"/>
        </w:rPr>
        <w:t> </w:t>
      </w:r>
      <w:r w:rsidR="009D0E18" w:rsidRPr="00327458">
        <w:rPr>
          <w:rFonts w:ascii="Arial" w:hAnsi="Arial" w:cs="Arial"/>
          <w:color w:val="000000" w:themeColor="text1"/>
        </w:rPr>
        <w:t>ograniczać konieczność stosowania opieki instytucjonalnej.</w:t>
      </w:r>
      <w:r w:rsidR="00E51F38" w:rsidRPr="00327458">
        <w:rPr>
          <w:rFonts w:ascii="Arial" w:hAnsi="Arial" w:cs="Arial"/>
          <w:color w:val="000000" w:themeColor="text1"/>
        </w:rPr>
        <w:t xml:space="preserve"> W perspektywie rosnących potrzeb osób z zaburzeniami </w:t>
      </w:r>
      <w:r w:rsidR="00BE17C9" w:rsidRPr="00327458">
        <w:rPr>
          <w:rFonts w:ascii="Arial" w:hAnsi="Arial" w:cs="Arial"/>
          <w:color w:val="000000" w:themeColor="text1"/>
        </w:rPr>
        <w:t xml:space="preserve">w obszarze zdrowia psychicznego w zakresie usług terapeutycznych, wspierających, pomocowych i opieki oraz wobec niedostatecznej liczby miejsc świadczących usługi tego typu, istotną rolę odgrywa rozwój siatki wsparcia obejmującego rozwój zdeinstytucjonalizowanych form świadczeń zdrowotnych w ramach reformy systemu ochrony zdrowia psychicznego, </w:t>
      </w:r>
      <w:r w:rsidR="007D64CC" w:rsidRPr="00327458">
        <w:rPr>
          <w:rFonts w:ascii="Arial" w:hAnsi="Arial" w:cs="Arial"/>
          <w:color w:val="000000" w:themeColor="text1"/>
        </w:rPr>
        <w:t>przy</w:t>
      </w:r>
      <w:r w:rsidR="00BE17C9" w:rsidRPr="00327458">
        <w:rPr>
          <w:rFonts w:ascii="Arial" w:hAnsi="Arial" w:cs="Arial"/>
          <w:color w:val="000000" w:themeColor="text1"/>
        </w:rPr>
        <w:t xml:space="preserve"> współpracy </w:t>
      </w:r>
      <w:r w:rsidR="007D64CC" w:rsidRPr="00327458">
        <w:rPr>
          <w:rFonts w:ascii="Arial" w:hAnsi="Arial" w:cs="Arial"/>
          <w:color w:val="000000" w:themeColor="text1"/>
        </w:rPr>
        <w:t>w obszarze</w:t>
      </w:r>
      <w:r w:rsidR="00BE17C9" w:rsidRPr="00327458">
        <w:rPr>
          <w:rFonts w:ascii="Arial" w:hAnsi="Arial" w:cs="Arial"/>
          <w:color w:val="000000" w:themeColor="text1"/>
        </w:rPr>
        <w:t xml:space="preserve"> usług społecznyc</w:t>
      </w:r>
      <w:r w:rsidR="007D64CC" w:rsidRPr="00327458">
        <w:rPr>
          <w:rFonts w:ascii="Arial" w:hAnsi="Arial" w:cs="Arial"/>
          <w:color w:val="000000" w:themeColor="text1"/>
        </w:rPr>
        <w:t>h</w:t>
      </w:r>
      <w:r w:rsidR="00BE17C9" w:rsidRPr="00327458">
        <w:rPr>
          <w:rFonts w:ascii="Arial" w:hAnsi="Arial" w:cs="Arial"/>
          <w:color w:val="000000" w:themeColor="text1"/>
        </w:rPr>
        <w:t xml:space="preserve">. </w:t>
      </w:r>
      <w:r w:rsidR="00780FEA" w:rsidRPr="00327458">
        <w:rPr>
          <w:rFonts w:ascii="Arial" w:hAnsi="Arial" w:cs="Arial"/>
          <w:color w:val="000000" w:themeColor="text1"/>
        </w:rPr>
        <w:t>Jak</w:t>
      </w:r>
      <w:r w:rsidR="00E11316" w:rsidRPr="00327458">
        <w:rPr>
          <w:rFonts w:ascii="Arial" w:hAnsi="Arial" w:cs="Arial"/>
          <w:color w:val="000000" w:themeColor="text1"/>
        </w:rPr>
        <w:t> </w:t>
      </w:r>
      <w:r w:rsidR="00780FEA" w:rsidRPr="00327458">
        <w:rPr>
          <w:rFonts w:ascii="Arial" w:hAnsi="Arial" w:cs="Arial"/>
          <w:color w:val="000000" w:themeColor="text1"/>
        </w:rPr>
        <w:t>pokazują doświadczenia pilotażu Centrów Zdrowia Psychicznego, pomoc psychologiczna może być dostępna dla pacjentów w</w:t>
      </w:r>
      <w:r w:rsidR="006A28B6">
        <w:rPr>
          <w:rFonts w:ascii="Arial" w:hAnsi="Arial" w:cs="Arial"/>
          <w:color w:val="000000" w:themeColor="text1"/>
        </w:rPr>
        <w:t> </w:t>
      </w:r>
      <w:r w:rsidR="00780FEA" w:rsidRPr="00327458">
        <w:rPr>
          <w:rFonts w:ascii="Arial" w:hAnsi="Arial" w:cs="Arial"/>
          <w:color w:val="000000" w:themeColor="text1"/>
        </w:rPr>
        <w:t>perspektywie krótkoterminowego oczekiwania (do 10 dni od zgłoszenia)</w:t>
      </w:r>
      <w:r w:rsidR="003326B7" w:rsidRPr="00327458">
        <w:rPr>
          <w:rFonts w:ascii="Arial" w:hAnsi="Arial" w:cs="Arial"/>
          <w:color w:val="000000" w:themeColor="text1"/>
        </w:rPr>
        <w:t>. Należy zatem wspierać rozwijanie tego typu przedsięwzięć oraz multiplikować w pozostałych częściach regionu.</w:t>
      </w:r>
    </w:p>
    <w:p w:rsidR="006517AE" w:rsidRPr="00327458" w:rsidRDefault="006517AE" w:rsidP="006517AE">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Ponadto wsparcie dedykowane tej grupie </w:t>
      </w:r>
      <w:r w:rsidR="006A28B6">
        <w:rPr>
          <w:rFonts w:ascii="Arial" w:hAnsi="Arial" w:cs="Arial"/>
          <w:color w:val="000000" w:themeColor="text1"/>
        </w:rPr>
        <w:t xml:space="preserve">osób </w:t>
      </w:r>
      <w:r w:rsidRPr="00327458">
        <w:rPr>
          <w:rFonts w:ascii="Arial" w:hAnsi="Arial" w:cs="Arial"/>
          <w:color w:val="000000" w:themeColor="text1"/>
        </w:rPr>
        <w:t>powinno obejmować aktywności, których celem jest kompleksowa rehabilitacja, w tym społeczna i zawodowa.</w:t>
      </w:r>
      <w:r w:rsidR="00AE42B7" w:rsidRPr="00327458">
        <w:rPr>
          <w:rFonts w:ascii="Arial" w:hAnsi="Arial" w:cs="Arial"/>
          <w:color w:val="000000" w:themeColor="text1"/>
        </w:rPr>
        <w:t xml:space="preserve"> Proces poprawy kondycji psychicznej może być wspierany także poprzez usługi mieszkalnictwa chronionego – </w:t>
      </w:r>
      <w:r w:rsidR="008C4045" w:rsidRPr="00327458">
        <w:rPr>
          <w:rFonts w:ascii="Arial" w:hAnsi="Arial" w:cs="Arial"/>
          <w:color w:val="000000" w:themeColor="text1"/>
        </w:rPr>
        <w:t>wspieranego</w:t>
      </w:r>
      <w:r w:rsidR="00AE42B7" w:rsidRPr="00327458">
        <w:rPr>
          <w:rFonts w:ascii="Arial" w:hAnsi="Arial" w:cs="Arial"/>
          <w:color w:val="000000" w:themeColor="text1"/>
        </w:rPr>
        <w:t xml:space="preserve"> i </w:t>
      </w:r>
      <w:r w:rsidR="00EF640E" w:rsidRPr="00327458">
        <w:rPr>
          <w:rFonts w:ascii="Arial" w:hAnsi="Arial" w:cs="Arial"/>
          <w:color w:val="000000" w:themeColor="text1"/>
        </w:rPr>
        <w:t>treningowego</w:t>
      </w:r>
      <w:r w:rsidR="00AE42B7" w:rsidRPr="00327458">
        <w:rPr>
          <w:rFonts w:ascii="Arial" w:hAnsi="Arial" w:cs="Arial"/>
          <w:color w:val="000000" w:themeColor="text1"/>
        </w:rPr>
        <w:t xml:space="preserve">, </w:t>
      </w:r>
      <w:r w:rsidR="00EF640E" w:rsidRPr="00327458">
        <w:rPr>
          <w:rFonts w:ascii="Arial" w:hAnsi="Arial" w:cs="Arial"/>
          <w:color w:val="000000" w:themeColor="text1"/>
        </w:rPr>
        <w:t xml:space="preserve">miejscach pobytu krótkoterminowego, interwencyjnego </w:t>
      </w:r>
      <w:r w:rsidR="00567409" w:rsidRPr="00327458">
        <w:rPr>
          <w:rFonts w:ascii="Arial" w:hAnsi="Arial" w:cs="Arial"/>
          <w:color w:val="000000" w:themeColor="text1"/>
        </w:rPr>
        <w:t>z</w:t>
      </w:r>
      <w:r w:rsidR="007B2AA0" w:rsidRPr="00327458">
        <w:rPr>
          <w:rFonts w:ascii="Arial" w:hAnsi="Arial" w:cs="Arial"/>
          <w:color w:val="000000" w:themeColor="text1"/>
        </w:rPr>
        <w:t> </w:t>
      </w:r>
      <w:r w:rsidR="00567409" w:rsidRPr="00327458">
        <w:rPr>
          <w:rFonts w:ascii="Arial" w:hAnsi="Arial" w:cs="Arial"/>
          <w:color w:val="000000" w:themeColor="text1"/>
        </w:rPr>
        <w:t>zabezpieczonymi usługami specjalistycznymi.</w:t>
      </w:r>
      <w:r w:rsidR="00D968C2" w:rsidRPr="00327458">
        <w:rPr>
          <w:rFonts w:ascii="Arial" w:hAnsi="Arial" w:cs="Arial"/>
          <w:color w:val="000000" w:themeColor="text1"/>
        </w:rPr>
        <w:t xml:space="preserve"> Istotną rolę odgrywają dzienne formy wsparcia w postaci </w:t>
      </w:r>
      <w:r w:rsidR="00D3510A">
        <w:rPr>
          <w:rFonts w:ascii="Arial" w:hAnsi="Arial" w:cs="Arial"/>
          <w:color w:val="000000" w:themeColor="text1"/>
        </w:rPr>
        <w:t>ś</w:t>
      </w:r>
      <w:r w:rsidR="00D968C2" w:rsidRPr="00327458">
        <w:rPr>
          <w:rFonts w:ascii="Arial" w:hAnsi="Arial" w:cs="Arial"/>
          <w:color w:val="000000" w:themeColor="text1"/>
        </w:rPr>
        <w:t xml:space="preserve">rodowiskowych </w:t>
      </w:r>
      <w:r w:rsidR="00D3510A">
        <w:rPr>
          <w:rFonts w:ascii="Arial" w:hAnsi="Arial" w:cs="Arial"/>
          <w:color w:val="000000" w:themeColor="text1"/>
        </w:rPr>
        <w:t>d</w:t>
      </w:r>
      <w:r w:rsidR="00D968C2" w:rsidRPr="00327458">
        <w:rPr>
          <w:rFonts w:ascii="Arial" w:hAnsi="Arial" w:cs="Arial"/>
          <w:color w:val="000000" w:themeColor="text1"/>
        </w:rPr>
        <w:t xml:space="preserve">omów </w:t>
      </w:r>
      <w:r w:rsidR="00D3510A">
        <w:rPr>
          <w:rFonts w:ascii="Arial" w:hAnsi="Arial" w:cs="Arial"/>
          <w:color w:val="000000" w:themeColor="text1"/>
        </w:rPr>
        <w:t>s</w:t>
      </w:r>
      <w:r w:rsidR="00D968C2" w:rsidRPr="00327458">
        <w:rPr>
          <w:rFonts w:ascii="Arial" w:hAnsi="Arial" w:cs="Arial"/>
          <w:color w:val="000000" w:themeColor="text1"/>
        </w:rPr>
        <w:t>amopomocy</w:t>
      </w:r>
      <w:r w:rsidR="00F8514D" w:rsidRPr="00327458">
        <w:rPr>
          <w:rFonts w:ascii="Arial" w:hAnsi="Arial" w:cs="Arial"/>
          <w:color w:val="000000" w:themeColor="text1"/>
        </w:rPr>
        <w:t>,</w:t>
      </w:r>
      <w:r w:rsidR="00D968C2" w:rsidRPr="00327458">
        <w:rPr>
          <w:rFonts w:ascii="Arial" w:hAnsi="Arial" w:cs="Arial"/>
          <w:color w:val="000000" w:themeColor="text1"/>
        </w:rPr>
        <w:t xml:space="preserve"> </w:t>
      </w:r>
      <w:r w:rsidR="00D3510A">
        <w:rPr>
          <w:rFonts w:ascii="Arial" w:hAnsi="Arial" w:cs="Arial"/>
          <w:color w:val="000000" w:themeColor="text1"/>
        </w:rPr>
        <w:t>k</w:t>
      </w:r>
      <w:r w:rsidR="00D968C2" w:rsidRPr="00327458">
        <w:rPr>
          <w:rFonts w:ascii="Arial" w:hAnsi="Arial" w:cs="Arial"/>
          <w:color w:val="000000" w:themeColor="text1"/>
        </w:rPr>
        <w:t xml:space="preserve">lubów </w:t>
      </w:r>
      <w:r w:rsidR="00D3510A">
        <w:rPr>
          <w:rFonts w:ascii="Arial" w:hAnsi="Arial" w:cs="Arial"/>
          <w:color w:val="000000" w:themeColor="text1"/>
        </w:rPr>
        <w:t>sa</w:t>
      </w:r>
      <w:r w:rsidR="00D968C2" w:rsidRPr="00327458">
        <w:rPr>
          <w:rFonts w:ascii="Arial" w:hAnsi="Arial" w:cs="Arial"/>
          <w:color w:val="000000" w:themeColor="text1"/>
        </w:rPr>
        <w:t>mopomocy</w:t>
      </w:r>
      <w:r w:rsidR="00F8514D" w:rsidRPr="00327458">
        <w:rPr>
          <w:rFonts w:ascii="Arial" w:hAnsi="Arial" w:cs="Arial"/>
          <w:color w:val="000000" w:themeColor="text1"/>
        </w:rPr>
        <w:t xml:space="preserve"> czy grup</w:t>
      </w:r>
      <w:r w:rsidR="00130577" w:rsidRPr="00327458">
        <w:rPr>
          <w:rFonts w:ascii="Arial" w:hAnsi="Arial" w:cs="Arial"/>
          <w:color w:val="000000" w:themeColor="text1"/>
        </w:rPr>
        <w:t xml:space="preserve"> </w:t>
      </w:r>
      <w:r w:rsidR="00F8514D" w:rsidRPr="00327458">
        <w:rPr>
          <w:rFonts w:ascii="Arial" w:hAnsi="Arial" w:cs="Arial"/>
          <w:color w:val="000000" w:themeColor="text1"/>
        </w:rPr>
        <w:t>samopomocowych</w:t>
      </w:r>
      <w:r w:rsidR="00D968C2" w:rsidRPr="00327458">
        <w:rPr>
          <w:rFonts w:ascii="Arial" w:hAnsi="Arial" w:cs="Arial"/>
          <w:color w:val="000000" w:themeColor="text1"/>
        </w:rPr>
        <w:t xml:space="preserve">, pozwalających osobie pozostać w obrębie swojej </w:t>
      </w:r>
      <w:r w:rsidR="00130577" w:rsidRPr="00327458">
        <w:rPr>
          <w:rFonts w:ascii="Arial" w:hAnsi="Arial" w:cs="Arial"/>
          <w:color w:val="000000" w:themeColor="text1"/>
        </w:rPr>
        <w:t xml:space="preserve">(dotychczasowej) </w:t>
      </w:r>
      <w:r w:rsidR="00D968C2" w:rsidRPr="00327458">
        <w:rPr>
          <w:rFonts w:ascii="Arial" w:hAnsi="Arial" w:cs="Arial"/>
          <w:color w:val="000000" w:themeColor="text1"/>
        </w:rPr>
        <w:t>społeczności lokalnej i</w:t>
      </w:r>
      <w:r w:rsidR="00130577" w:rsidRPr="00327458">
        <w:rPr>
          <w:rFonts w:ascii="Arial" w:hAnsi="Arial" w:cs="Arial"/>
          <w:color w:val="000000" w:themeColor="text1"/>
        </w:rPr>
        <w:t xml:space="preserve"> </w:t>
      </w:r>
      <w:r w:rsidR="00D968C2" w:rsidRPr="00327458">
        <w:rPr>
          <w:rFonts w:ascii="Arial" w:hAnsi="Arial" w:cs="Arial"/>
          <w:color w:val="000000" w:themeColor="text1"/>
        </w:rPr>
        <w:t>stwarzających przestrzeń oddziaływania w zakresie aktywizacji społeczno-zawodowej.</w:t>
      </w:r>
    </w:p>
    <w:p w:rsidR="00C92EA2" w:rsidRPr="00327458" w:rsidRDefault="00B46ECB" w:rsidP="006517AE">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Dostępność do opieki psychiatrycznej i leczenia zaburzeń zdrowia psychicznego na poziomie lokalnym jest istotna nie tylko w przypadku dzieci i młodzieży i osób w wieku produkcyjnym, ale również </w:t>
      </w:r>
      <w:r w:rsidR="00555B97">
        <w:rPr>
          <w:rFonts w:ascii="Arial" w:hAnsi="Arial" w:cs="Arial"/>
          <w:color w:val="000000" w:themeColor="text1"/>
        </w:rPr>
        <w:t xml:space="preserve">w </w:t>
      </w:r>
      <w:r w:rsidRPr="00327458">
        <w:rPr>
          <w:rFonts w:ascii="Arial" w:hAnsi="Arial" w:cs="Arial"/>
          <w:color w:val="000000" w:themeColor="text1"/>
        </w:rPr>
        <w:t xml:space="preserve">przypadku osób starszych </w:t>
      </w:r>
      <w:r w:rsidR="00EF1B34" w:rsidRPr="00327458">
        <w:rPr>
          <w:rFonts w:ascii="Arial" w:hAnsi="Arial" w:cs="Arial"/>
          <w:color w:val="000000" w:themeColor="text1"/>
        </w:rPr>
        <w:t>– szacuje się, że 30% osób przebywających w placówkach opieki długoterminowej przejawia objawy depresyjne</w:t>
      </w:r>
      <w:r w:rsidR="00EF1B34" w:rsidRPr="00327458">
        <w:rPr>
          <w:rStyle w:val="Odwoanieprzypisudolnego"/>
          <w:rFonts w:ascii="Arial" w:hAnsi="Arial" w:cs="Arial"/>
          <w:color w:val="000000" w:themeColor="text1"/>
        </w:rPr>
        <w:footnoteReference w:id="44"/>
      </w:r>
      <w:r w:rsidR="00EF1B34" w:rsidRPr="00327458">
        <w:rPr>
          <w:rFonts w:ascii="Arial" w:hAnsi="Arial" w:cs="Arial"/>
          <w:color w:val="000000" w:themeColor="text1"/>
        </w:rPr>
        <w:t>.</w:t>
      </w:r>
    </w:p>
    <w:p w:rsidR="001804AC" w:rsidRPr="00327458" w:rsidRDefault="001804AC" w:rsidP="00EC762F">
      <w:pPr>
        <w:pStyle w:val="Nagwek2"/>
        <w:rPr>
          <w:rFonts w:cs="Arial"/>
          <w:color w:val="000000" w:themeColor="text1"/>
        </w:rPr>
      </w:pPr>
      <w:r w:rsidRPr="00205F94">
        <w:rPr>
          <w:rFonts w:cs="Arial"/>
          <w:color w:val="000000" w:themeColor="text1"/>
        </w:rPr>
        <w:t>Osoby starsze</w:t>
      </w:r>
    </w:p>
    <w:p w:rsidR="00FA22B8" w:rsidRPr="00327458" w:rsidRDefault="00622EE1" w:rsidP="00AB6398">
      <w:pPr>
        <w:spacing w:after="0" w:line="360" w:lineRule="auto"/>
        <w:rPr>
          <w:rFonts w:ascii="Arial" w:hAnsi="Arial" w:cs="Arial"/>
          <w:color w:val="000000" w:themeColor="text1"/>
        </w:rPr>
      </w:pPr>
      <w:r w:rsidRPr="00327458">
        <w:rPr>
          <w:rFonts w:ascii="Arial" w:hAnsi="Arial" w:cs="Arial"/>
          <w:color w:val="000000" w:themeColor="text1"/>
        </w:rPr>
        <w:t xml:space="preserve">Istotnym wyzwaniem dla polityki społecznej </w:t>
      </w:r>
      <w:r w:rsidR="00522667" w:rsidRPr="00327458">
        <w:rPr>
          <w:rFonts w:ascii="Arial" w:hAnsi="Arial" w:cs="Arial"/>
          <w:color w:val="000000" w:themeColor="text1"/>
        </w:rPr>
        <w:t>jest niekorzystna sytuacja demograficzna. Od</w:t>
      </w:r>
      <w:r w:rsidR="00E51F38" w:rsidRPr="00327458">
        <w:rPr>
          <w:rFonts w:ascii="Arial" w:hAnsi="Arial" w:cs="Arial"/>
          <w:color w:val="000000" w:themeColor="text1"/>
        </w:rPr>
        <w:t> </w:t>
      </w:r>
      <w:r w:rsidR="00522667" w:rsidRPr="00327458">
        <w:rPr>
          <w:rFonts w:ascii="Arial" w:hAnsi="Arial" w:cs="Arial"/>
          <w:color w:val="000000" w:themeColor="text1"/>
        </w:rPr>
        <w:t>2020 r. w regionie występuje ubytek naturalny ludności, choć wskaźnik ten jest najniższy w kraju i niższy od średniej dla kraju (w 2021 r. wyniósł odpowiednio -2,01% i -4,95%)</w:t>
      </w:r>
      <w:r w:rsidR="00C029D7" w:rsidRPr="00327458">
        <w:rPr>
          <w:rStyle w:val="Odwoanieprzypisudolnego"/>
          <w:rFonts w:ascii="Arial" w:hAnsi="Arial" w:cs="Arial"/>
          <w:color w:val="000000" w:themeColor="text1"/>
        </w:rPr>
        <w:footnoteReference w:id="45"/>
      </w:r>
      <w:r w:rsidR="00522667" w:rsidRPr="00327458">
        <w:rPr>
          <w:rFonts w:ascii="Arial" w:hAnsi="Arial" w:cs="Arial"/>
          <w:color w:val="000000" w:themeColor="text1"/>
        </w:rPr>
        <w:t>.</w:t>
      </w:r>
      <w:r w:rsidR="009B59CA" w:rsidRPr="00327458">
        <w:rPr>
          <w:rFonts w:ascii="Arial" w:hAnsi="Arial" w:cs="Arial"/>
          <w:color w:val="000000" w:themeColor="text1"/>
        </w:rPr>
        <w:t xml:space="preserve"> Z</w:t>
      </w:r>
      <w:r w:rsidR="00E51F38" w:rsidRPr="00327458">
        <w:rPr>
          <w:rFonts w:ascii="Arial" w:hAnsi="Arial" w:cs="Arial"/>
          <w:color w:val="000000" w:themeColor="text1"/>
        </w:rPr>
        <w:t> </w:t>
      </w:r>
      <w:r w:rsidR="009B59CA" w:rsidRPr="00327458">
        <w:rPr>
          <w:rFonts w:ascii="Arial" w:hAnsi="Arial" w:cs="Arial"/>
          <w:color w:val="000000" w:themeColor="text1"/>
        </w:rPr>
        <w:t>roku na rok rośnie współczynnik obciążenia demograficznego osobami starszymi</w:t>
      </w:r>
      <w:r w:rsidR="00467F7D" w:rsidRPr="00327458">
        <w:rPr>
          <w:rFonts w:ascii="Arial" w:hAnsi="Arial" w:cs="Arial"/>
          <w:color w:val="000000" w:themeColor="text1"/>
        </w:rPr>
        <w:t xml:space="preserve"> – w 2021 r. wyniósł </w:t>
      </w:r>
      <w:r w:rsidR="0015265E" w:rsidRPr="00327458">
        <w:rPr>
          <w:rFonts w:ascii="Arial" w:hAnsi="Arial" w:cs="Arial"/>
          <w:color w:val="000000" w:themeColor="text1"/>
        </w:rPr>
        <w:t>26,8</w:t>
      </w:r>
      <w:r w:rsidR="00467F7D" w:rsidRPr="00327458">
        <w:rPr>
          <w:rFonts w:ascii="Arial" w:hAnsi="Arial" w:cs="Arial"/>
          <w:color w:val="000000" w:themeColor="text1"/>
        </w:rPr>
        <w:t>%; było to o 0,</w:t>
      </w:r>
      <w:r w:rsidR="0015265E" w:rsidRPr="00327458">
        <w:rPr>
          <w:rFonts w:ascii="Arial" w:hAnsi="Arial" w:cs="Arial"/>
          <w:color w:val="000000" w:themeColor="text1"/>
        </w:rPr>
        <w:t>7</w:t>
      </w:r>
      <w:r w:rsidR="00467F7D" w:rsidRPr="00327458">
        <w:rPr>
          <w:rFonts w:ascii="Arial" w:hAnsi="Arial" w:cs="Arial"/>
          <w:color w:val="000000" w:themeColor="text1"/>
        </w:rPr>
        <w:t xml:space="preserve"> p. p. więcej niż przed rokiem</w:t>
      </w:r>
      <w:r w:rsidR="000C6598" w:rsidRPr="00327458">
        <w:rPr>
          <w:rStyle w:val="Odwoanieprzypisudolnego"/>
          <w:rFonts w:ascii="Arial" w:hAnsi="Arial" w:cs="Arial"/>
          <w:color w:val="000000" w:themeColor="text1"/>
        </w:rPr>
        <w:footnoteReference w:id="46"/>
      </w:r>
      <w:r w:rsidR="00467F7D" w:rsidRPr="00327458">
        <w:rPr>
          <w:rFonts w:ascii="Arial" w:hAnsi="Arial" w:cs="Arial"/>
          <w:color w:val="000000" w:themeColor="text1"/>
        </w:rPr>
        <w:t>. Tendencje demograficzne mają charakter ciągły</w:t>
      </w:r>
      <w:r w:rsidR="00BC38A8" w:rsidRPr="00327458">
        <w:rPr>
          <w:rFonts w:ascii="Arial" w:hAnsi="Arial" w:cs="Arial"/>
          <w:color w:val="000000" w:themeColor="text1"/>
        </w:rPr>
        <w:t xml:space="preserve">, co potwierdza m.in. rosnąca liczba osób w wieku 65 i więcej lat </w:t>
      </w:r>
      <w:r w:rsidR="00BC38A8" w:rsidRPr="00327458">
        <w:rPr>
          <w:rFonts w:ascii="Arial" w:hAnsi="Arial" w:cs="Arial"/>
          <w:color w:val="000000" w:themeColor="text1"/>
        </w:rPr>
        <w:lastRenderedPageBreak/>
        <w:t>przypadająca na 100 osób w wieku 0</w:t>
      </w:r>
      <w:r w:rsidR="00205F94" w:rsidRPr="00327458">
        <w:rPr>
          <w:rFonts w:ascii="Arial" w:hAnsi="Arial" w:cs="Arial"/>
          <w:color w:val="000000" w:themeColor="text1"/>
        </w:rPr>
        <w:t>–</w:t>
      </w:r>
      <w:r w:rsidR="00BC38A8" w:rsidRPr="00327458">
        <w:rPr>
          <w:rFonts w:ascii="Arial" w:hAnsi="Arial" w:cs="Arial"/>
          <w:color w:val="000000" w:themeColor="text1"/>
        </w:rPr>
        <w:t>14 lat (</w:t>
      </w:r>
      <w:r w:rsidR="00C24815" w:rsidRPr="00327458">
        <w:rPr>
          <w:rFonts w:ascii="Arial" w:hAnsi="Arial" w:cs="Arial"/>
          <w:color w:val="000000" w:themeColor="text1"/>
        </w:rPr>
        <w:t>2011 r. – 75, 2021 r. – 103</w:t>
      </w:r>
      <w:r w:rsidR="00C24815" w:rsidRPr="00327458">
        <w:rPr>
          <w:rStyle w:val="Odwoanieprzypisudolnego"/>
          <w:rFonts w:ascii="Arial" w:hAnsi="Arial" w:cs="Arial"/>
          <w:color w:val="000000" w:themeColor="text1"/>
        </w:rPr>
        <w:footnoteReference w:id="47"/>
      </w:r>
      <w:r w:rsidR="00BC38A8" w:rsidRPr="00327458">
        <w:rPr>
          <w:rFonts w:ascii="Arial" w:hAnsi="Arial" w:cs="Arial"/>
          <w:color w:val="000000" w:themeColor="text1"/>
        </w:rPr>
        <w:t>)</w:t>
      </w:r>
      <w:r w:rsidR="00C24815" w:rsidRPr="00327458">
        <w:rPr>
          <w:rFonts w:ascii="Arial" w:hAnsi="Arial" w:cs="Arial"/>
          <w:color w:val="000000" w:themeColor="text1"/>
        </w:rPr>
        <w:t xml:space="preserve">. </w:t>
      </w:r>
      <w:r w:rsidR="00BC38A8" w:rsidRPr="00327458">
        <w:rPr>
          <w:rFonts w:ascii="Arial" w:hAnsi="Arial" w:cs="Arial"/>
          <w:color w:val="000000" w:themeColor="text1"/>
        </w:rPr>
        <w:t>Ponadto, z</w:t>
      </w:r>
      <w:r w:rsidR="008F0ED9" w:rsidRPr="00327458">
        <w:rPr>
          <w:rFonts w:ascii="Arial" w:hAnsi="Arial" w:cs="Arial"/>
          <w:color w:val="000000" w:themeColor="text1"/>
        </w:rPr>
        <w:t xml:space="preserve">godnie z prognozą demograficzną </w:t>
      </w:r>
      <w:r w:rsidR="004B25A0" w:rsidRPr="00327458">
        <w:rPr>
          <w:rFonts w:ascii="Arial" w:hAnsi="Arial" w:cs="Arial"/>
          <w:color w:val="000000" w:themeColor="text1"/>
        </w:rPr>
        <w:t>przygotowaną przez Ministerstwo Finansów</w:t>
      </w:r>
      <w:r w:rsidR="004B25A0" w:rsidRPr="00327458">
        <w:rPr>
          <w:rStyle w:val="Odwoanieprzypisudolnego"/>
          <w:rFonts w:ascii="Arial" w:hAnsi="Arial" w:cs="Arial"/>
          <w:color w:val="000000" w:themeColor="text1"/>
        </w:rPr>
        <w:footnoteReference w:id="48"/>
      </w:r>
      <w:r w:rsidR="004B25A0" w:rsidRPr="00327458">
        <w:rPr>
          <w:rFonts w:ascii="Arial" w:hAnsi="Arial" w:cs="Arial"/>
          <w:color w:val="000000" w:themeColor="text1"/>
        </w:rPr>
        <w:t xml:space="preserve"> </w:t>
      </w:r>
      <w:r w:rsidR="002C66E5" w:rsidRPr="00327458">
        <w:rPr>
          <w:rFonts w:ascii="Arial" w:hAnsi="Arial" w:cs="Arial"/>
          <w:color w:val="000000" w:themeColor="text1"/>
        </w:rPr>
        <w:t>odsetek osób w</w:t>
      </w:r>
      <w:r w:rsidR="00E51F38" w:rsidRPr="00327458">
        <w:rPr>
          <w:rFonts w:ascii="Arial" w:hAnsi="Arial" w:cs="Arial"/>
          <w:color w:val="000000" w:themeColor="text1"/>
        </w:rPr>
        <w:t> </w:t>
      </w:r>
      <w:r w:rsidR="002C66E5" w:rsidRPr="00327458">
        <w:rPr>
          <w:rFonts w:ascii="Arial" w:hAnsi="Arial" w:cs="Arial"/>
          <w:color w:val="000000" w:themeColor="text1"/>
        </w:rPr>
        <w:t>wieku poprodukcyjnym</w:t>
      </w:r>
      <w:r w:rsidR="00BC38A8" w:rsidRPr="00327458">
        <w:rPr>
          <w:rFonts w:ascii="Arial" w:hAnsi="Arial" w:cs="Arial"/>
          <w:color w:val="000000" w:themeColor="text1"/>
        </w:rPr>
        <w:t xml:space="preserve"> w kraju</w:t>
      </w:r>
      <w:r w:rsidR="00FF0733" w:rsidRPr="00327458">
        <w:rPr>
          <w:rFonts w:ascii="Arial" w:hAnsi="Arial" w:cs="Arial"/>
          <w:color w:val="000000" w:themeColor="text1"/>
        </w:rPr>
        <w:t xml:space="preserve"> wzrośnie z 22,0% w 2019 r. do</w:t>
      </w:r>
      <w:r w:rsidR="000509B6" w:rsidRPr="00327458">
        <w:rPr>
          <w:rFonts w:ascii="Arial" w:hAnsi="Arial" w:cs="Arial"/>
          <w:color w:val="000000" w:themeColor="text1"/>
        </w:rPr>
        <w:t xml:space="preserve"> 33,5%</w:t>
      </w:r>
      <w:r w:rsidR="004B25A0" w:rsidRPr="00327458">
        <w:rPr>
          <w:rFonts w:ascii="Arial" w:hAnsi="Arial" w:cs="Arial"/>
          <w:color w:val="000000" w:themeColor="text1"/>
        </w:rPr>
        <w:t xml:space="preserve"> </w:t>
      </w:r>
      <w:r w:rsidR="00FF0733" w:rsidRPr="00327458">
        <w:rPr>
          <w:rFonts w:ascii="Arial" w:hAnsi="Arial" w:cs="Arial"/>
          <w:color w:val="000000" w:themeColor="text1"/>
        </w:rPr>
        <w:t>w 2080 r. W</w:t>
      </w:r>
      <w:r w:rsidR="00E51F38" w:rsidRPr="00327458">
        <w:rPr>
          <w:rFonts w:ascii="Arial" w:hAnsi="Arial" w:cs="Arial"/>
          <w:color w:val="000000" w:themeColor="text1"/>
        </w:rPr>
        <w:t> </w:t>
      </w:r>
      <w:r w:rsidR="00FF0733" w:rsidRPr="00327458">
        <w:rPr>
          <w:rFonts w:ascii="Arial" w:hAnsi="Arial" w:cs="Arial"/>
          <w:color w:val="000000" w:themeColor="text1"/>
        </w:rPr>
        <w:t>analogicznym okresie zmaleje natomiast odsetek osób w wieku przedprodukcyjnym i</w:t>
      </w:r>
      <w:r w:rsidR="00E51F38" w:rsidRPr="00327458">
        <w:rPr>
          <w:rFonts w:ascii="Arial" w:hAnsi="Arial" w:cs="Arial"/>
          <w:color w:val="000000" w:themeColor="text1"/>
        </w:rPr>
        <w:t> </w:t>
      </w:r>
      <w:r w:rsidR="00FF0733" w:rsidRPr="00327458">
        <w:rPr>
          <w:rFonts w:ascii="Arial" w:hAnsi="Arial" w:cs="Arial"/>
          <w:color w:val="000000" w:themeColor="text1"/>
        </w:rPr>
        <w:t>produkcyjnym</w:t>
      </w:r>
      <w:r w:rsidR="009D3966" w:rsidRPr="00327458">
        <w:rPr>
          <w:rFonts w:ascii="Arial" w:hAnsi="Arial" w:cs="Arial"/>
          <w:color w:val="000000" w:themeColor="text1"/>
        </w:rPr>
        <w:t xml:space="preserve"> (odpowiednio o 0,5 p. p. i 11,1 p. p.)</w:t>
      </w:r>
      <w:r w:rsidR="00FF0733" w:rsidRPr="00327458">
        <w:rPr>
          <w:rFonts w:ascii="Arial" w:hAnsi="Arial" w:cs="Arial"/>
          <w:color w:val="000000" w:themeColor="text1"/>
        </w:rPr>
        <w:t>.</w:t>
      </w:r>
    </w:p>
    <w:p w:rsidR="00FA22B8" w:rsidRPr="00327458" w:rsidRDefault="00FA22B8" w:rsidP="00FA22B8">
      <w:pPr>
        <w:spacing w:after="0" w:line="360" w:lineRule="auto"/>
        <w:ind w:firstLine="708"/>
        <w:rPr>
          <w:rFonts w:ascii="Arial" w:hAnsi="Arial" w:cs="Arial"/>
          <w:color w:val="000000" w:themeColor="text1"/>
        </w:rPr>
      </w:pPr>
      <w:r w:rsidRPr="00327458">
        <w:rPr>
          <w:rFonts w:ascii="Arial" w:hAnsi="Arial" w:cs="Arial"/>
          <w:color w:val="000000" w:themeColor="text1"/>
        </w:rPr>
        <w:t>W województwie pomorskim w grudniu 2021 r. na 1000 emerytów</w:t>
      </w:r>
      <w:r w:rsidR="00F16ED9">
        <w:rPr>
          <w:rFonts w:ascii="Arial" w:hAnsi="Arial" w:cs="Arial"/>
          <w:color w:val="000000" w:themeColor="text1"/>
        </w:rPr>
        <w:t>(</w:t>
      </w:r>
      <w:proofErr w:type="spellStart"/>
      <w:r w:rsidR="00F16ED9">
        <w:rPr>
          <w:rFonts w:ascii="Arial" w:hAnsi="Arial" w:cs="Arial"/>
          <w:color w:val="000000" w:themeColor="text1"/>
        </w:rPr>
        <w:t>ek</w:t>
      </w:r>
      <w:proofErr w:type="spellEnd"/>
      <w:r w:rsidR="00F16ED9">
        <w:rPr>
          <w:rFonts w:ascii="Arial" w:hAnsi="Arial" w:cs="Arial"/>
          <w:color w:val="000000" w:themeColor="text1"/>
        </w:rPr>
        <w:t>)</w:t>
      </w:r>
      <w:r w:rsidRPr="00327458">
        <w:rPr>
          <w:rFonts w:ascii="Arial" w:hAnsi="Arial" w:cs="Arial"/>
          <w:color w:val="000000" w:themeColor="text1"/>
        </w:rPr>
        <w:t xml:space="preserve"> przypadało 143 emerytów</w:t>
      </w:r>
      <w:r w:rsidR="00F16ED9">
        <w:rPr>
          <w:rFonts w:ascii="Arial" w:hAnsi="Arial" w:cs="Arial"/>
          <w:color w:val="000000" w:themeColor="text1"/>
        </w:rPr>
        <w:t>(</w:t>
      </w:r>
      <w:proofErr w:type="spellStart"/>
      <w:r w:rsidR="00F16ED9">
        <w:rPr>
          <w:rFonts w:ascii="Arial" w:hAnsi="Arial" w:cs="Arial"/>
          <w:color w:val="000000" w:themeColor="text1"/>
        </w:rPr>
        <w:t>ek</w:t>
      </w:r>
      <w:proofErr w:type="spellEnd"/>
      <w:r w:rsidR="00F16ED9">
        <w:rPr>
          <w:rFonts w:ascii="Arial" w:hAnsi="Arial" w:cs="Arial"/>
          <w:color w:val="000000" w:themeColor="text1"/>
        </w:rPr>
        <w:t>)</w:t>
      </w:r>
      <w:r w:rsidRPr="00327458">
        <w:rPr>
          <w:rFonts w:ascii="Arial" w:hAnsi="Arial" w:cs="Arial"/>
          <w:color w:val="000000" w:themeColor="text1"/>
        </w:rPr>
        <w:t xml:space="preserve"> pracujących, zaś na 1000 osób pracujących w gospodarce narodowej 61 to emeryci</w:t>
      </w:r>
      <w:r w:rsidRPr="00327458">
        <w:rPr>
          <w:rStyle w:val="Odwoanieprzypisudolnego"/>
          <w:rFonts w:ascii="Arial" w:hAnsi="Arial" w:cs="Arial"/>
          <w:color w:val="000000" w:themeColor="text1"/>
        </w:rPr>
        <w:footnoteReference w:id="49"/>
      </w:r>
      <w:r w:rsidRPr="00327458">
        <w:rPr>
          <w:rFonts w:ascii="Arial" w:hAnsi="Arial" w:cs="Arial"/>
          <w:color w:val="000000" w:themeColor="text1"/>
        </w:rPr>
        <w:t>. Z kolei wskaźnik zatrudnienia osób w wieku 60-89 lat w naszym regionie w 2021 r. wyniósł 16,8 i pod względem wysokości był to trzeci wynik w kraju</w:t>
      </w:r>
      <w:r w:rsidRPr="00327458">
        <w:rPr>
          <w:rStyle w:val="Odwoanieprzypisudolnego"/>
          <w:rFonts w:ascii="Arial" w:hAnsi="Arial" w:cs="Arial"/>
          <w:color w:val="000000" w:themeColor="text1"/>
        </w:rPr>
        <w:footnoteReference w:id="50"/>
      </w:r>
      <w:r w:rsidRPr="00327458">
        <w:rPr>
          <w:rFonts w:ascii="Arial" w:hAnsi="Arial" w:cs="Arial"/>
          <w:color w:val="000000" w:themeColor="text1"/>
        </w:rPr>
        <w:t xml:space="preserve">. Ponadto w 2021 r. </w:t>
      </w:r>
      <w:r w:rsidR="00AA1AFB">
        <w:rPr>
          <w:rFonts w:ascii="Arial" w:hAnsi="Arial" w:cs="Arial"/>
          <w:color w:val="000000" w:themeColor="text1"/>
        </w:rPr>
        <w:t xml:space="preserve">województwo </w:t>
      </w:r>
      <w:r w:rsidRPr="00327458">
        <w:rPr>
          <w:rFonts w:ascii="Arial" w:hAnsi="Arial" w:cs="Arial"/>
          <w:color w:val="000000" w:themeColor="text1"/>
        </w:rPr>
        <w:t>pomorskie osiągnęło najniższy w kraju współczynnik zgonów osób w</w:t>
      </w:r>
      <w:r w:rsidR="00AA1AFB">
        <w:rPr>
          <w:rFonts w:ascii="Arial" w:hAnsi="Arial" w:cs="Arial"/>
          <w:color w:val="000000" w:themeColor="text1"/>
        </w:rPr>
        <w:t> </w:t>
      </w:r>
      <w:r w:rsidRPr="00327458">
        <w:rPr>
          <w:rFonts w:ascii="Arial" w:hAnsi="Arial" w:cs="Arial"/>
          <w:color w:val="000000" w:themeColor="text1"/>
        </w:rPr>
        <w:t>wieku 60 lat i więcej, który wyniósł 43,4</w:t>
      </w:r>
      <w:r w:rsidRPr="00327458">
        <w:rPr>
          <w:rStyle w:val="Odwoanieprzypisudolnego"/>
          <w:rFonts w:ascii="Arial" w:hAnsi="Arial" w:cs="Arial"/>
          <w:color w:val="000000" w:themeColor="text1"/>
        </w:rPr>
        <w:footnoteReference w:id="51"/>
      </w:r>
      <w:r w:rsidRPr="00327458">
        <w:rPr>
          <w:rFonts w:ascii="Arial" w:hAnsi="Arial" w:cs="Arial"/>
          <w:color w:val="000000" w:themeColor="text1"/>
        </w:rPr>
        <w:t>. Pomorskie, ze wskaźnikiem 110 zajmuje drugie miejsce w kraju pod kątem liczby osób 60+ pobierających zasiłki stałe przypadających na 10 tys. osób w wieku 60+</w:t>
      </w:r>
      <w:r w:rsidRPr="00327458">
        <w:rPr>
          <w:rStyle w:val="Odwoanieprzypisudolnego"/>
          <w:rFonts w:ascii="Arial" w:hAnsi="Arial" w:cs="Arial"/>
          <w:color w:val="000000" w:themeColor="text1"/>
        </w:rPr>
        <w:footnoteReference w:id="52"/>
      </w:r>
      <w:r w:rsidRPr="00327458">
        <w:rPr>
          <w:rFonts w:ascii="Arial" w:hAnsi="Arial" w:cs="Arial"/>
          <w:color w:val="000000" w:themeColor="text1"/>
        </w:rPr>
        <w:t>. Tendencje demograficzne są jedną z przyczyn rosnącego popytu usług opiekuńczych i zdrowotnych świadczonych na rzecz osób w wieku senioralnym.</w:t>
      </w:r>
    </w:p>
    <w:p w:rsidR="00FA22B8" w:rsidRPr="00327458" w:rsidRDefault="003809F1" w:rsidP="00FA22B8">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Analizując </w:t>
      </w:r>
      <w:r w:rsidR="0073317A" w:rsidRPr="00327458">
        <w:rPr>
          <w:rFonts w:ascii="Arial" w:hAnsi="Arial" w:cs="Arial"/>
          <w:color w:val="000000" w:themeColor="text1"/>
        </w:rPr>
        <w:t xml:space="preserve">strukturę </w:t>
      </w:r>
      <w:r w:rsidRPr="00327458">
        <w:rPr>
          <w:rFonts w:ascii="Arial" w:hAnsi="Arial" w:cs="Arial"/>
          <w:color w:val="000000" w:themeColor="text1"/>
        </w:rPr>
        <w:t>pacjentów</w:t>
      </w:r>
      <w:r w:rsidR="00AA1AFB">
        <w:rPr>
          <w:rFonts w:ascii="Arial" w:hAnsi="Arial" w:cs="Arial"/>
          <w:color w:val="000000" w:themeColor="text1"/>
        </w:rPr>
        <w:t>(</w:t>
      </w:r>
      <w:proofErr w:type="spellStart"/>
      <w:r w:rsidR="00AA1AFB">
        <w:rPr>
          <w:rFonts w:ascii="Arial" w:hAnsi="Arial" w:cs="Arial"/>
          <w:color w:val="000000" w:themeColor="text1"/>
        </w:rPr>
        <w:t>ek</w:t>
      </w:r>
      <w:proofErr w:type="spellEnd"/>
      <w:r w:rsidR="00AA1AFB">
        <w:rPr>
          <w:rFonts w:ascii="Arial" w:hAnsi="Arial" w:cs="Arial"/>
          <w:color w:val="000000" w:themeColor="text1"/>
        </w:rPr>
        <w:t>)</w:t>
      </w:r>
      <w:r w:rsidRPr="00327458">
        <w:rPr>
          <w:rFonts w:ascii="Arial" w:hAnsi="Arial" w:cs="Arial"/>
          <w:color w:val="000000" w:themeColor="text1"/>
        </w:rPr>
        <w:t xml:space="preserve"> zakładów opieki długoterminowej pod kątem wieku, w</w:t>
      </w:r>
      <w:r w:rsidR="00316927" w:rsidRPr="00327458">
        <w:rPr>
          <w:rFonts w:ascii="Arial" w:hAnsi="Arial" w:cs="Arial"/>
          <w:color w:val="000000" w:themeColor="text1"/>
        </w:rPr>
        <w:t>edług stanu na 31 grudnia</w:t>
      </w:r>
      <w:r w:rsidR="00E10406" w:rsidRPr="00327458">
        <w:rPr>
          <w:rFonts w:ascii="Arial" w:hAnsi="Arial" w:cs="Arial"/>
          <w:color w:val="000000" w:themeColor="text1"/>
        </w:rPr>
        <w:t xml:space="preserve"> 2021 r. w</w:t>
      </w:r>
      <w:r w:rsidRPr="00327458">
        <w:rPr>
          <w:rFonts w:ascii="Arial" w:hAnsi="Arial" w:cs="Arial"/>
          <w:color w:val="000000" w:themeColor="text1"/>
        </w:rPr>
        <w:t> województwie pomorskim najliczniejszą grupę stanowi</w:t>
      </w:r>
      <w:r w:rsidR="00E10406" w:rsidRPr="00327458">
        <w:rPr>
          <w:rFonts w:ascii="Arial" w:hAnsi="Arial" w:cs="Arial"/>
          <w:color w:val="000000" w:themeColor="text1"/>
        </w:rPr>
        <w:t>ły</w:t>
      </w:r>
      <w:r w:rsidRPr="00327458">
        <w:rPr>
          <w:rFonts w:ascii="Arial" w:hAnsi="Arial" w:cs="Arial"/>
          <w:color w:val="000000" w:themeColor="text1"/>
        </w:rPr>
        <w:t xml:space="preserve"> osoby w wieku 80 i więcej lat (646 pacjentów</w:t>
      </w:r>
      <w:r w:rsidR="00E10406" w:rsidRPr="00327458">
        <w:rPr>
          <w:rFonts w:ascii="Arial" w:hAnsi="Arial" w:cs="Arial"/>
          <w:color w:val="000000" w:themeColor="text1"/>
        </w:rPr>
        <w:t>; 40,9% ogółu</w:t>
      </w:r>
      <w:r w:rsidRPr="00327458">
        <w:rPr>
          <w:rFonts w:ascii="Arial" w:hAnsi="Arial" w:cs="Arial"/>
          <w:color w:val="000000" w:themeColor="text1"/>
        </w:rPr>
        <w:t>)</w:t>
      </w:r>
      <w:r w:rsidR="00985A01" w:rsidRPr="00327458">
        <w:rPr>
          <w:rFonts w:ascii="Arial" w:hAnsi="Arial" w:cs="Arial"/>
          <w:color w:val="000000" w:themeColor="text1"/>
        </w:rPr>
        <w:t>,</w:t>
      </w:r>
      <w:r w:rsidR="0073317A" w:rsidRPr="00327458">
        <w:rPr>
          <w:rFonts w:ascii="Arial" w:hAnsi="Arial" w:cs="Arial"/>
          <w:color w:val="000000" w:themeColor="text1"/>
        </w:rPr>
        <w:t xml:space="preserve"> jeśli zaś rozszerzymy zakres wieku do przedziału </w:t>
      </w:r>
      <w:r w:rsidR="00AA1AFB">
        <w:rPr>
          <w:rFonts w:ascii="Arial" w:hAnsi="Arial" w:cs="Arial"/>
          <w:color w:val="000000" w:themeColor="text1"/>
        </w:rPr>
        <w:t xml:space="preserve">od </w:t>
      </w:r>
      <w:r w:rsidR="0073317A" w:rsidRPr="00327458">
        <w:rPr>
          <w:rFonts w:ascii="Arial" w:hAnsi="Arial" w:cs="Arial"/>
          <w:color w:val="000000" w:themeColor="text1"/>
        </w:rPr>
        <w:t>65</w:t>
      </w:r>
      <w:r w:rsidR="00AA1AFB">
        <w:rPr>
          <w:rFonts w:ascii="Arial" w:hAnsi="Arial" w:cs="Arial"/>
          <w:color w:val="000000" w:themeColor="text1"/>
        </w:rPr>
        <w:t xml:space="preserve"> lat w górę</w:t>
      </w:r>
      <w:r w:rsidR="0073317A" w:rsidRPr="00327458">
        <w:rPr>
          <w:rFonts w:ascii="Arial" w:hAnsi="Arial" w:cs="Arial"/>
          <w:color w:val="000000" w:themeColor="text1"/>
        </w:rPr>
        <w:t>, odsetek pacjentów</w:t>
      </w:r>
      <w:r w:rsidR="00AA1AFB">
        <w:rPr>
          <w:rFonts w:ascii="Arial" w:hAnsi="Arial" w:cs="Arial"/>
          <w:color w:val="000000" w:themeColor="text1"/>
        </w:rPr>
        <w:t>(</w:t>
      </w:r>
      <w:proofErr w:type="spellStart"/>
      <w:r w:rsidR="00AA1AFB">
        <w:rPr>
          <w:rFonts w:ascii="Arial" w:hAnsi="Arial" w:cs="Arial"/>
          <w:color w:val="000000" w:themeColor="text1"/>
        </w:rPr>
        <w:t>ek</w:t>
      </w:r>
      <w:proofErr w:type="spellEnd"/>
      <w:r w:rsidR="00AA1AFB">
        <w:rPr>
          <w:rFonts w:ascii="Arial" w:hAnsi="Arial" w:cs="Arial"/>
          <w:color w:val="000000" w:themeColor="text1"/>
        </w:rPr>
        <w:t>)</w:t>
      </w:r>
      <w:r w:rsidR="0073317A" w:rsidRPr="00327458">
        <w:rPr>
          <w:rFonts w:ascii="Arial" w:hAnsi="Arial" w:cs="Arial"/>
          <w:color w:val="000000" w:themeColor="text1"/>
        </w:rPr>
        <w:t xml:space="preserve"> wyniósł 76,9%</w:t>
      </w:r>
      <w:r w:rsidR="005139AF" w:rsidRPr="00327458">
        <w:rPr>
          <w:rFonts w:ascii="Arial" w:hAnsi="Arial" w:cs="Arial"/>
          <w:color w:val="000000" w:themeColor="text1"/>
        </w:rPr>
        <w:t xml:space="preserve"> (odsetek kobiet w tym przedziale wiekowym</w:t>
      </w:r>
      <w:r w:rsidR="00696EA8" w:rsidRPr="00327458">
        <w:rPr>
          <w:rFonts w:ascii="Arial" w:hAnsi="Arial" w:cs="Arial"/>
          <w:color w:val="000000" w:themeColor="text1"/>
        </w:rPr>
        <w:t xml:space="preserve"> – </w:t>
      </w:r>
      <w:r w:rsidR="005139AF" w:rsidRPr="00327458">
        <w:rPr>
          <w:rFonts w:ascii="Arial" w:hAnsi="Arial" w:cs="Arial"/>
          <w:color w:val="000000" w:themeColor="text1"/>
        </w:rPr>
        <w:t>70,4%)</w:t>
      </w:r>
      <w:r w:rsidR="0073317A" w:rsidRPr="00327458">
        <w:rPr>
          <w:rFonts w:ascii="Arial" w:hAnsi="Arial" w:cs="Arial"/>
          <w:color w:val="000000" w:themeColor="text1"/>
        </w:rPr>
        <w:t>.</w:t>
      </w:r>
      <w:r w:rsidR="00263E0F" w:rsidRPr="00327458">
        <w:rPr>
          <w:rFonts w:ascii="Arial" w:hAnsi="Arial" w:cs="Arial"/>
          <w:color w:val="000000" w:themeColor="text1"/>
        </w:rPr>
        <w:t xml:space="preserve"> Ponadto aż 4</w:t>
      </w:r>
      <w:r w:rsidR="00AA1AFB">
        <w:rPr>
          <w:rFonts w:ascii="Arial" w:hAnsi="Arial" w:cs="Arial"/>
          <w:color w:val="000000" w:themeColor="text1"/>
        </w:rPr>
        <w:t xml:space="preserve"> na 10 </w:t>
      </w:r>
      <w:r w:rsidR="00263E0F" w:rsidRPr="00327458">
        <w:rPr>
          <w:rFonts w:ascii="Arial" w:hAnsi="Arial" w:cs="Arial"/>
          <w:color w:val="000000" w:themeColor="text1"/>
        </w:rPr>
        <w:t>pacjentów</w:t>
      </w:r>
      <w:r w:rsidR="00AA1AFB">
        <w:rPr>
          <w:rFonts w:ascii="Arial" w:hAnsi="Arial" w:cs="Arial"/>
          <w:color w:val="000000" w:themeColor="text1"/>
        </w:rPr>
        <w:t>(</w:t>
      </w:r>
      <w:proofErr w:type="spellStart"/>
      <w:r w:rsidR="00AA1AFB">
        <w:rPr>
          <w:rFonts w:ascii="Arial" w:hAnsi="Arial" w:cs="Arial"/>
          <w:color w:val="000000" w:themeColor="text1"/>
        </w:rPr>
        <w:t>ek</w:t>
      </w:r>
      <w:proofErr w:type="spellEnd"/>
      <w:r w:rsidR="00AA1AFB">
        <w:rPr>
          <w:rFonts w:ascii="Arial" w:hAnsi="Arial" w:cs="Arial"/>
          <w:color w:val="000000" w:themeColor="text1"/>
        </w:rPr>
        <w:t>)</w:t>
      </w:r>
      <w:r w:rsidR="00263E0F" w:rsidRPr="00327458">
        <w:rPr>
          <w:rFonts w:ascii="Arial" w:hAnsi="Arial" w:cs="Arial"/>
          <w:color w:val="000000" w:themeColor="text1"/>
        </w:rPr>
        <w:t xml:space="preserve"> stanowiły osoby nieopuszczające łóżek</w:t>
      </w:r>
      <w:r w:rsidR="003C48CD" w:rsidRPr="00327458">
        <w:rPr>
          <w:rStyle w:val="Odwoanieprzypisudolnego"/>
          <w:rFonts w:ascii="Arial" w:hAnsi="Arial" w:cs="Arial"/>
          <w:color w:val="000000" w:themeColor="text1"/>
        </w:rPr>
        <w:footnoteReference w:id="53"/>
      </w:r>
      <w:r w:rsidR="00263E0F" w:rsidRPr="00327458">
        <w:rPr>
          <w:rFonts w:ascii="Arial" w:hAnsi="Arial" w:cs="Arial"/>
          <w:color w:val="000000" w:themeColor="text1"/>
        </w:rPr>
        <w:t>.</w:t>
      </w:r>
    </w:p>
    <w:p w:rsidR="009165C0" w:rsidRPr="00327458" w:rsidRDefault="00C35AAB" w:rsidP="00FA22B8">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W województwie pomorskim </w:t>
      </w:r>
      <w:r w:rsidR="008E52B8" w:rsidRPr="00327458">
        <w:rPr>
          <w:rFonts w:ascii="Arial" w:hAnsi="Arial" w:cs="Arial"/>
          <w:color w:val="000000" w:themeColor="text1"/>
        </w:rPr>
        <w:t xml:space="preserve">funkcjonuje 5 poradni geriatrycznych posiadających </w:t>
      </w:r>
      <w:r w:rsidRPr="00327458">
        <w:rPr>
          <w:rFonts w:ascii="Arial" w:hAnsi="Arial" w:cs="Arial"/>
          <w:color w:val="000000" w:themeColor="text1"/>
        </w:rPr>
        <w:t>kontrakt z POW NFZ</w:t>
      </w:r>
      <w:r w:rsidR="008E52B8" w:rsidRPr="00327458">
        <w:rPr>
          <w:rFonts w:ascii="Arial" w:hAnsi="Arial" w:cs="Arial"/>
          <w:color w:val="000000" w:themeColor="text1"/>
        </w:rPr>
        <w:t xml:space="preserve"> na 2023 rok, 3 oddziały geriatryczne </w:t>
      </w:r>
      <w:r w:rsidR="00B22318">
        <w:rPr>
          <w:rFonts w:ascii="Arial" w:hAnsi="Arial" w:cs="Arial"/>
          <w:color w:val="000000" w:themeColor="text1"/>
        </w:rPr>
        <w:t>(</w:t>
      </w:r>
      <w:r w:rsidR="008E52B8" w:rsidRPr="00327458">
        <w:rPr>
          <w:rFonts w:ascii="Arial" w:hAnsi="Arial" w:cs="Arial"/>
          <w:color w:val="000000" w:themeColor="text1"/>
        </w:rPr>
        <w:t>Gdańsk, Sopo</w:t>
      </w:r>
      <w:r w:rsidR="00B22318">
        <w:rPr>
          <w:rFonts w:ascii="Arial" w:hAnsi="Arial" w:cs="Arial"/>
          <w:color w:val="000000" w:themeColor="text1"/>
        </w:rPr>
        <w:t>t,</w:t>
      </w:r>
      <w:r w:rsidR="008E52B8" w:rsidRPr="00327458">
        <w:rPr>
          <w:rFonts w:ascii="Arial" w:hAnsi="Arial" w:cs="Arial"/>
          <w:color w:val="000000" w:themeColor="text1"/>
        </w:rPr>
        <w:t xml:space="preserve"> Lębork</w:t>
      </w:r>
      <w:r w:rsidR="00B22318">
        <w:rPr>
          <w:rFonts w:ascii="Arial" w:hAnsi="Arial" w:cs="Arial"/>
          <w:color w:val="000000" w:themeColor="text1"/>
        </w:rPr>
        <w:t>)</w:t>
      </w:r>
      <w:r w:rsidR="008E52B8" w:rsidRPr="00327458">
        <w:rPr>
          <w:rFonts w:ascii="Arial" w:hAnsi="Arial" w:cs="Arial"/>
          <w:color w:val="000000" w:themeColor="text1"/>
        </w:rPr>
        <w:t xml:space="preserve"> z łączną liczbą </w:t>
      </w:r>
      <w:r w:rsidR="000A1AFC" w:rsidRPr="00327458">
        <w:rPr>
          <w:rFonts w:ascii="Arial" w:hAnsi="Arial" w:cs="Arial"/>
          <w:color w:val="000000" w:themeColor="text1"/>
        </w:rPr>
        <w:t xml:space="preserve">56 </w:t>
      </w:r>
      <w:r w:rsidR="008E52B8" w:rsidRPr="00327458">
        <w:rPr>
          <w:rFonts w:ascii="Arial" w:hAnsi="Arial" w:cs="Arial"/>
          <w:color w:val="000000" w:themeColor="text1"/>
        </w:rPr>
        <w:t>łóżek</w:t>
      </w:r>
      <w:r w:rsidR="002A6142" w:rsidRPr="00327458">
        <w:rPr>
          <w:rFonts w:ascii="Arial" w:hAnsi="Arial" w:cs="Arial"/>
          <w:color w:val="000000" w:themeColor="text1"/>
        </w:rPr>
        <w:t xml:space="preserve"> oraz 2 oddziały psychogeriatryczne </w:t>
      </w:r>
      <w:r w:rsidR="00B22318">
        <w:rPr>
          <w:rFonts w:ascii="Arial" w:hAnsi="Arial" w:cs="Arial"/>
          <w:color w:val="000000" w:themeColor="text1"/>
        </w:rPr>
        <w:t>(</w:t>
      </w:r>
      <w:r w:rsidR="002A6142" w:rsidRPr="00327458">
        <w:rPr>
          <w:rFonts w:ascii="Arial" w:hAnsi="Arial" w:cs="Arial"/>
          <w:color w:val="000000" w:themeColor="text1"/>
        </w:rPr>
        <w:t>Starogar</w:t>
      </w:r>
      <w:r w:rsidR="00B22318">
        <w:rPr>
          <w:rFonts w:ascii="Arial" w:hAnsi="Arial" w:cs="Arial"/>
          <w:color w:val="000000" w:themeColor="text1"/>
        </w:rPr>
        <w:t>d</w:t>
      </w:r>
      <w:r w:rsidR="002A6142" w:rsidRPr="00327458">
        <w:rPr>
          <w:rFonts w:ascii="Arial" w:hAnsi="Arial" w:cs="Arial"/>
          <w:color w:val="000000" w:themeColor="text1"/>
        </w:rPr>
        <w:t xml:space="preserve"> Gdański</w:t>
      </w:r>
      <w:r w:rsidR="00B22318">
        <w:rPr>
          <w:rFonts w:ascii="Arial" w:hAnsi="Arial" w:cs="Arial"/>
          <w:color w:val="000000" w:themeColor="text1"/>
        </w:rPr>
        <w:t xml:space="preserve">, </w:t>
      </w:r>
      <w:r w:rsidR="002A6142" w:rsidRPr="00327458">
        <w:rPr>
          <w:rFonts w:ascii="Arial" w:hAnsi="Arial" w:cs="Arial"/>
          <w:color w:val="000000" w:themeColor="text1"/>
        </w:rPr>
        <w:t>Lębork</w:t>
      </w:r>
      <w:r w:rsidR="00B22318">
        <w:rPr>
          <w:rFonts w:ascii="Arial" w:hAnsi="Arial" w:cs="Arial"/>
          <w:color w:val="000000" w:themeColor="text1"/>
        </w:rPr>
        <w:t xml:space="preserve">) </w:t>
      </w:r>
      <w:r w:rsidR="002A6142" w:rsidRPr="00327458">
        <w:rPr>
          <w:rFonts w:ascii="Arial" w:hAnsi="Arial" w:cs="Arial"/>
          <w:color w:val="000000" w:themeColor="text1"/>
        </w:rPr>
        <w:t>z łączną liczbą 31 łóżek</w:t>
      </w:r>
      <w:r w:rsidR="008E52B8" w:rsidRPr="00327458">
        <w:rPr>
          <w:rFonts w:ascii="Arial" w:hAnsi="Arial" w:cs="Arial"/>
          <w:color w:val="000000" w:themeColor="text1"/>
        </w:rPr>
        <w:t>.</w:t>
      </w:r>
      <w:r w:rsidR="00A90033" w:rsidRPr="00327458">
        <w:rPr>
          <w:rFonts w:ascii="Arial" w:hAnsi="Arial" w:cs="Arial"/>
          <w:color w:val="000000" w:themeColor="text1"/>
        </w:rPr>
        <w:t xml:space="preserve"> </w:t>
      </w:r>
      <w:r w:rsidR="00B17650" w:rsidRPr="00327458">
        <w:rPr>
          <w:rFonts w:ascii="Arial" w:hAnsi="Arial" w:cs="Arial"/>
          <w:color w:val="000000" w:themeColor="text1"/>
        </w:rPr>
        <w:t>Ś</w:t>
      </w:r>
      <w:r w:rsidR="00A90033" w:rsidRPr="00327458">
        <w:rPr>
          <w:rFonts w:ascii="Arial" w:hAnsi="Arial" w:cs="Arial"/>
          <w:color w:val="000000" w:themeColor="text1"/>
        </w:rPr>
        <w:t xml:space="preserve">wiadczeń dziennych psychiatrycznych geriatrycznych udzielają </w:t>
      </w:r>
      <w:r w:rsidR="0023711B" w:rsidRPr="00327458">
        <w:rPr>
          <w:rFonts w:ascii="Arial" w:hAnsi="Arial" w:cs="Arial"/>
          <w:color w:val="000000" w:themeColor="text1"/>
        </w:rPr>
        <w:t>w</w:t>
      </w:r>
      <w:r w:rsidR="00B22318">
        <w:rPr>
          <w:rFonts w:ascii="Arial" w:hAnsi="Arial" w:cs="Arial"/>
          <w:color w:val="000000" w:themeColor="text1"/>
        </w:rPr>
        <w:t> </w:t>
      </w:r>
      <w:r w:rsidR="0023711B" w:rsidRPr="00327458">
        <w:rPr>
          <w:rFonts w:ascii="Arial" w:hAnsi="Arial" w:cs="Arial"/>
          <w:color w:val="000000" w:themeColor="text1"/>
        </w:rPr>
        <w:t xml:space="preserve">województwie </w:t>
      </w:r>
      <w:r w:rsidR="00A90033" w:rsidRPr="00327458">
        <w:rPr>
          <w:rFonts w:ascii="Arial" w:hAnsi="Arial" w:cs="Arial"/>
          <w:color w:val="000000" w:themeColor="text1"/>
        </w:rPr>
        <w:t>3 podmioty lecznicze</w:t>
      </w:r>
      <w:r w:rsidR="00056E60" w:rsidRPr="00327458">
        <w:rPr>
          <w:rStyle w:val="Odwoanieprzypisudolnego"/>
          <w:rFonts w:ascii="Arial" w:hAnsi="Arial" w:cs="Arial"/>
          <w:color w:val="000000" w:themeColor="text1"/>
        </w:rPr>
        <w:footnoteReference w:id="54"/>
      </w:r>
      <w:r w:rsidR="00A90033" w:rsidRPr="00327458">
        <w:rPr>
          <w:rFonts w:ascii="Arial" w:hAnsi="Arial" w:cs="Arial"/>
          <w:color w:val="000000" w:themeColor="text1"/>
        </w:rPr>
        <w:t>.</w:t>
      </w:r>
    </w:p>
    <w:p w:rsidR="00FA22B8" w:rsidRPr="00327458" w:rsidRDefault="0000276B" w:rsidP="00FA22B8">
      <w:pPr>
        <w:spacing w:after="0" w:line="360" w:lineRule="auto"/>
        <w:ind w:firstLine="708"/>
        <w:rPr>
          <w:rFonts w:ascii="Arial" w:hAnsi="Arial" w:cs="Arial"/>
          <w:color w:val="000000" w:themeColor="text1"/>
        </w:rPr>
      </w:pPr>
      <w:r w:rsidRPr="00327458">
        <w:rPr>
          <w:rFonts w:ascii="Arial" w:hAnsi="Arial" w:cs="Arial"/>
          <w:color w:val="000000" w:themeColor="text1"/>
        </w:rPr>
        <w:lastRenderedPageBreak/>
        <w:t>Osobom starszym dedykowane są usługi opiekuńcze</w:t>
      </w:r>
      <w:r w:rsidR="0055190F" w:rsidRPr="00327458">
        <w:rPr>
          <w:rStyle w:val="Odwoanieprzypisudolnego"/>
          <w:rFonts w:ascii="Arial" w:hAnsi="Arial" w:cs="Arial"/>
          <w:color w:val="000000" w:themeColor="text1"/>
        </w:rPr>
        <w:footnoteReference w:id="55"/>
      </w:r>
      <w:r w:rsidRPr="00327458">
        <w:rPr>
          <w:rFonts w:ascii="Arial" w:hAnsi="Arial" w:cs="Arial"/>
          <w:color w:val="000000" w:themeColor="text1"/>
        </w:rPr>
        <w:t xml:space="preserve"> świadczone w miejscu zamieszkania</w:t>
      </w:r>
      <w:r w:rsidR="005F64F0" w:rsidRPr="00327458">
        <w:rPr>
          <w:rFonts w:ascii="Arial" w:hAnsi="Arial" w:cs="Arial"/>
          <w:color w:val="000000" w:themeColor="text1"/>
        </w:rPr>
        <w:t xml:space="preserve"> – w </w:t>
      </w:r>
      <w:r w:rsidRPr="00327458">
        <w:rPr>
          <w:rFonts w:ascii="Arial" w:hAnsi="Arial" w:cs="Arial"/>
          <w:color w:val="000000" w:themeColor="text1"/>
        </w:rPr>
        <w:t xml:space="preserve">2021 r. </w:t>
      </w:r>
      <w:r w:rsidR="0055190F" w:rsidRPr="00327458">
        <w:rPr>
          <w:rFonts w:ascii="Arial" w:hAnsi="Arial" w:cs="Arial"/>
          <w:color w:val="000000" w:themeColor="text1"/>
        </w:rPr>
        <w:t xml:space="preserve">objęto nimi 7,7 tys. </w:t>
      </w:r>
      <w:r w:rsidR="001133A6" w:rsidRPr="00327458">
        <w:rPr>
          <w:rFonts w:ascii="Arial" w:hAnsi="Arial" w:cs="Arial"/>
          <w:color w:val="000000" w:themeColor="text1"/>
        </w:rPr>
        <w:t>osób</w:t>
      </w:r>
      <w:r w:rsidR="0055190F" w:rsidRPr="00327458">
        <w:rPr>
          <w:rFonts w:ascii="Arial" w:hAnsi="Arial" w:cs="Arial"/>
          <w:color w:val="000000" w:themeColor="text1"/>
        </w:rPr>
        <w:t>,</w:t>
      </w:r>
      <w:r w:rsidR="001133A6" w:rsidRPr="00327458">
        <w:rPr>
          <w:rFonts w:ascii="Arial" w:hAnsi="Arial" w:cs="Arial"/>
          <w:color w:val="000000" w:themeColor="text1"/>
        </w:rPr>
        <w:t xml:space="preserve"> tj. o 1,9% więcej niż w 2020 r.</w:t>
      </w:r>
      <w:r w:rsidR="000B3BA3" w:rsidRPr="00327458">
        <w:rPr>
          <w:rFonts w:ascii="Arial" w:hAnsi="Arial" w:cs="Arial"/>
          <w:color w:val="000000" w:themeColor="text1"/>
        </w:rPr>
        <w:t>, zaś wartość i liczba udzielonych świadczeń zmalały o odpowiednio 5,1% i 8,2%</w:t>
      </w:r>
      <w:r w:rsidR="001133A6" w:rsidRPr="00327458">
        <w:rPr>
          <w:rStyle w:val="Odwoanieprzypisudolnego"/>
          <w:rFonts w:ascii="Arial" w:hAnsi="Arial" w:cs="Arial"/>
          <w:color w:val="000000" w:themeColor="text1"/>
        </w:rPr>
        <w:footnoteReference w:id="56"/>
      </w:r>
      <w:r w:rsidR="001133A6" w:rsidRPr="00327458">
        <w:rPr>
          <w:rFonts w:ascii="Arial" w:hAnsi="Arial" w:cs="Arial"/>
          <w:color w:val="000000" w:themeColor="text1"/>
        </w:rPr>
        <w:t>.</w:t>
      </w:r>
    </w:p>
    <w:p w:rsidR="0034314C" w:rsidRPr="00327458" w:rsidRDefault="00416E08" w:rsidP="00FA22B8">
      <w:pPr>
        <w:spacing w:after="0" w:line="360" w:lineRule="auto"/>
        <w:ind w:firstLine="708"/>
        <w:rPr>
          <w:rFonts w:ascii="Arial" w:hAnsi="Arial" w:cs="Arial"/>
          <w:color w:val="000000" w:themeColor="text1"/>
        </w:rPr>
      </w:pPr>
      <w:r w:rsidRPr="00327458">
        <w:rPr>
          <w:rFonts w:ascii="Arial" w:hAnsi="Arial" w:cs="Arial"/>
          <w:color w:val="000000" w:themeColor="text1"/>
        </w:rPr>
        <w:t>Osoby wymagające całodobowej opieki z powodu wieku, choroby lub niepełnosprawności</w:t>
      </w:r>
      <w:r w:rsidR="001A2011" w:rsidRPr="00327458">
        <w:rPr>
          <w:rFonts w:ascii="Arial" w:hAnsi="Arial" w:cs="Arial"/>
          <w:color w:val="000000" w:themeColor="text1"/>
        </w:rPr>
        <w:t>, dla których niewystarczające jest zapewnienie pomocy w formie usług opiekuńczych mogą korzystać z domów pomocy społecznej.</w:t>
      </w:r>
      <w:r w:rsidR="00015678" w:rsidRPr="00327458">
        <w:rPr>
          <w:rFonts w:ascii="Arial" w:hAnsi="Arial" w:cs="Arial"/>
          <w:color w:val="000000" w:themeColor="text1"/>
        </w:rPr>
        <w:t xml:space="preserve"> </w:t>
      </w:r>
      <w:r w:rsidR="00F4250F" w:rsidRPr="00327458">
        <w:rPr>
          <w:rFonts w:ascii="Arial" w:hAnsi="Arial" w:cs="Arial"/>
          <w:color w:val="000000" w:themeColor="text1"/>
        </w:rPr>
        <w:t>Grupy, które w największym stopniu są mieszkańcami domów pomocy społecznej to: osoby przewlekle psychicznie chore (32,8%), osoby przewlekle somatycznie chore (24,9%) oraz dorośli niepełnosprawni intelektualnie (24,5%). Wśród pozostałych korzystających można wskazać: osoby w</w:t>
      </w:r>
      <w:r w:rsidR="00E51F38" w:rsidRPr="00327458">
        <w:rPr>
          <w:rFonts w:ascii="Arial" w:hAnsi="Arial" w:cs="Arial"/>
          <w:color w:val="000000" w:themeColor="text1"/>
        </w:rPr>
        <w:t> </w:t>
      </w:r>
      <w:r w:rsidR="00F4250F" w:rsidRPr="00327458">
        <w:rPr>
          <w:rFonts w:ascii="Arial" w:hAnsi="Arial" w:cs="Arial"/>
          <w:color w:val="000000" w:themeColor="text1"/>
        </w:rPr>
        <w:t xml:space="preserve">podeszłym wieku (8,7%), dzieci i młodzież </w:t>
      </w:r>
      <w:r w:rsidR="00182047">
        <w:rPr>
          <w:rFonts w:ascii="Arial" w:hAnsi="Arial" w:cs="Arial"/>
          <w:color w:val="000000" w:themeColor="text1"/>
        </w:rPr>
        <w:t>z niepełnosprawnością</w:t>
      </w:r>
      <w:r w:rsidR="00F4250F" w:rsidRPr="00327458">
        <w:rPr>
          <w:rFonts w:ascii="Arial" w:hAnsi="Arial" w:cs="Arial"/>
          <w:color w:val="000000" w:themeColor="text1"/>
        </w:rPr>
        <w:t xml:space="preserve"> intelektualn</w:t>
      </w:r>
      <w:r w:rsidR="00182047">
        <w:rPr>
          <w:rFonts w:ascii="Arial" w:hAnsi="Arial" w:cs="Arial"/>
          <w:color w:val="000000" w:themeColor="text1"/>
        </w:rPr>
        <w:t>ą</w:t>
      </w:r>
      <w:r w:rsidR="00F4250F" w:rsidRPr="00327458">
        <w:rPr>
          <w:rFonts w:ascii="Arial" w:hAnsi="Arial" w:cs="Arial"/>
          <w:color w:val="000000" w:themeColor="text1"/>
        </w:rPr>
        <w:t xml:space="preserve"> (6,2%) oraz osoby </w:t>
      </w:r>
      <w:r w:rsidR="00182047">
        <w:rPr>
          <w:rFonts w:ascii="Arial" w:hAnsi="Arial" w:cs="Arial"/>
          <w:color w:val="000000" w:themeColor="text1"/>
        </w:rPr>
        <w:t>z niepełnosprawnością</w:t>
      </w:r>
      <w:r w:rsidR="00F4250F" w:rsidRPr="00327458">
        <w:rPr>
          <w:rFonts w:ascii="Arial" w:hAnsi="Arial" w:cs="Arial"/>
          <w:color w:val="000000" w:themeColor="text1"/>
        </w:rPr>
        <w:t xml:space="preserve"> fizyczn</w:t>
      </w:r>
      <w:r w:rsidR="00182047">
        <w:rPr>
          <w:rFonts w:ascii="Arial" w:hAnsi="Arial" w:cs="Arial"/>
          <w:color w:val="000000" w:themeColor="text1"/>
        </w:rPr>
        <w:t>ą</w:t>
      </w:r>
      <w:r w:rsidR="00F4250F" w:rsidRPr="00327458">
        <w:rPr>
          <w:rFonts w:ascii="Arial" w:hAnsi="Arial" w:cs="Arial"/>
          <w:color w:val="000000" w:themeColor="text1"/>
        </w:rPr>
        <w:t xml:space="preserve"> (3,0%)</w:t>
      </w:r>
      <w:r w:rsidR="00494E1B" w:rsidRPr="00327458">
        <w:rPr>
          <w:rStyle w:val="Odwoanieprzypisudolnego"/>
          <w:rFonts w:ascii="Arial" w:hAnsi="Arial" w:cs="Arial"/>
          <w:color w:val="000000" w:themeColor="text1"/>
        </w:rPr>
        <w:footnoteReference w:id="57"/>
      </w:r>
      <w:r w:rsidR="00494E1B" w:rsidRPr="00327458">
        <w:rPr>
          <w:rFonts w:ascii="Arial" w:hAnsi="Arial" w:cs="Arial"/>
          <w:color w:val="000000" w:themeColor="text1"/>
        </w:rPr>
        <w:t>.</w:t>
      </w:r>
    </w:p>
    <w:p w:rsidR="0034314C" w:rsidRPr="00327458" w:rsidRDefault="00015678" w:rsidP="00AB6398">
      <w:pPr>
        <w:spacing w:after="0" w:line="360" w:lineRule="auto"/>
        <w:ind w:firstLine="708"/>
        <w:rPr>
          <w:rFonts w:ascii="Arial" w:hAnsi="Arial" w:cs="Arial"/>
          <w:color w:val="000000" w:themeColor="text1"/>
        </w:rPr>
      </w:pPr>
      <w:r w:rsidRPr="00327458">
        <w:rPr>
          <w:rFonts w:ascii="Arial" w:hAnsi="Arial" w:cs="Arial"/>
          <w:color w:val="000000" w:themeColor="text1"/>
        </w:rPr>
        <w:t>W 2021 r. prowadzono 41 domów pomocy społecznej (-1; -2,4% vs. 2020 r.)</w:t>
      </w:r>
      <w:r w:rsidR="00DF684A" w:rsidRPr="00327458">
        <w:rPr>
          <w:rFonts w:ascii="Arial" w:hAnsi="Arial" w:cs="Arial"/>
          <w:color w:val="000000" w:themeColor="text1"/>
        </w:rPr>
        <w:t>, dysponujących 4,1 tys. miejsc (-58;</w:t>
      </w:r>
      <w:r w:rsidR="005D34B9" w:rsidRPr="00327458">
        <w:rPr>
          <w:rFonts w:ascii="Arial" w:hAnsi="Arial" w:cs="Arial"/>
          <w:color w:val="000000" w:themeColor="text1"/>
        </w:rPr>
        <w:t xml:space="preserve"> </w:t>
      </w:r>
      <w:r w:rsidR="00DF684A" w:rsidRPr="00327458">
        <w:rPr>
          <w:rFonts w:ascii="Arial" w:hAnsi="Arial" w:cs="Arial"/>
          <w:color w:val="000000" w:themeColor="text1"/>
        </w:rPr>
        <w:t>-1,4% r/r), zaś liczba osób oczekujących według stanu na 31 grudnia zmniejszyła się</w:t>
      </w:r>
      <w:r w:rsidR="00193CB4" w:rsidRPr="00327458">
        <w:rPr>
          <w:rFonts w:ascii="Arial" w:hAnsi="Arial" w:cs="Arial"/>
          <w:color w:val="000000" w:themeColor="text1"/>
        </w:rPr>
        <w:t xml:space="preserve"> w tym okresie</w:t>
      </w:r>
      <w:r w:rsidR="00DF684A" w:rsidRPr="00327458">
        <w:rPr>
          <w:rFonts w:ascii="Arial" w:hAnsi="Arial" w:cs="Arial"/>
          <w:color w:val="000000" w:themeColor="text1"/>
        </w:rPr>
        <w:t xml:space="preserve"> do 0,2 tys. (-0,2 tys.; -49,5%).</w:t>
      </w:r>
      <w:r w:rsidR="009B44BE" w:rsidRPr="00327458">
        <w:rPr>
          <w:rFonts w:ascii="Arial" w:hAnsi="Arial" w:cs="Arial"/>
          <w:color w:val="000000" w:themeColor="text1"/>
        </w:rPr>
        <w:t xml:space="preserve"> Jeśli dom pomocy społecznej świadczy usługi nie mniej niż trzem, ale nie więcej niż ośmiu osobom, mówimy o</w:t>
      </w:r>
      <w:r w:rsidR="00E51F38" w:rsidRPr="00327458">
        <w:rPr>
          <w:rFonts w:ascii="Arial" w:hAnsi="Arial" w:cs="Arial"/>
          <w:color w:val="000000" w:themeColor="text1"/>
        </w:rPr>
        <w:t> </w:t>
      </w:r>
      <w:r w:rsidR="009B44BE" w:rsidRPr="00327458">
        <w:rPr>
          <w:rFonts w:ascii="Arial" w:hAnsi="Arial" w:cs="Arial"/>
          <w:color w:val="000000" w:themeColor="text1"/>
        </w:rPr>
        <w:t>rodzinnym domie pomocy społecznej. Tych w 2021 r. funkcjonowało 3 dla łącznie 19 osób – takie same wskaźniki osiągnięto w 2020 r.</w:t>
      </w:r>
      <w:r w:rsidR="0034314C" w:rsidRPr="00327458">
        <w:rPr>
          <w:rFonts w:ascii="Arial" w:hAnsi="Arial" w:cs="Arial"/>
          <w:color w:val="000000" w:themeColor="text1"/>
        </w:rPr>
        <w:t xml:space="preserve"> Osobną kategorię stanowią placówki całodobowej opieki prowadzone w ramach działalności statutowej i gospodarczej – w 2021 r. prowadzono ich 85 (bez zmian r/r), które dysponowały 2,9 tys. miejsc (+8; +0,3% r/r)</w:t>
      </w:r>
      <w:r w:rsidR="0034314C" w:rsidRPr="00327458">
        <w:rPr>
          <w:rStyle w:val="Odwoanieprzypisudolnego"/>
          <w:rFonts w:ascii="Arial" w:hAnsi="Arial" w:cs="Arial"/>
          <w:color w:val="000000" w:themeColor="text1"/>
        </w:rPr>
        <w:footnoteReference w:id="58"/>
      </w:r>
      <w:r w:rsidR="0034314C" w:rsidRPr="00327458">
        <w:rPr>
          <w:rFonts w:ascii="Arial" w:hAnsi="Arial" w:cs="Arial"/>
          <w:color w:val="000000" w:themeColor="text1"/>
        </w:rPr>
        <w:t>.</w:t>
      </w:r>
    </w:p>
    <w:p w:rsidR="001B3576" w:rsidRPr="00327458" w:rsidRDefault="00834DD4" w:rsidP="00AB6398">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Usługi społeczne odgrywają kluczową rolę w </w:t>
      </w:r>
      <w:r w:rsidR="004C799D" w:rsidRPr="00327458">
        <w:rPr>
          <w:rFonts w:ascii="Arial" w:hAnsi="Arial" w:cs="Arial"/>
          <w:color w:val="000000" w:themeColor="text1"/>
        </w:rPr>
        <w:t>utrzymywaniu aktywnego życia osób starszych, ograniczając występowanie zjawisk marginalizacji i wykluczenia społecznego.</w:t>
      </w:r>
      <w:r w:rsidR="006F5AC5" w:rsidRPr="00327458">
        <w:rPr>
          <w:rFonts w:ascii="Arial" w:hAnsi="Arial" w:cs="Arial"/>
          <w:color w:val="000000" w:themeColor="text1"/>
        </w:rPr>
        <w:t xml:space="preserve"> Cel ten realizowany jest m.in. przez Uniwersyte</w:t>
      </w:r>
      <w:r w:rsidR="002F6E93" w:rsidRPr="00327458">
        <w:rPr>
          <w:rFonts w:ascii="Arial" w:hAnsi="Arial" w:cs="Arial"/>
          <w:color w:val="000000" w:themeColor="text1"/>
        </w:rPr>
        <w:t xml:space="preserve">ty </w:t>
      </w:r>
      <w:r w:rsidR="006F5AC5" w:rsidRPr="00327458">
        <w:rPr>
          <w:rFonts w:ascii="Arial" w:hAnsi="Arial" w:cs="Arial"/>
          <w:color w:val="000000" w:themeColor="text1"/>
        </w:rPr>
        <w:t>Trzeciego Wieku – w 2021 r. było ich 49 (+ 9 vs. 2020 r.)</w:t>
      </w:r>
      <w:r w:rsidR="00630E34" w:rsidRPr="00327458">
        <w:rPr>
          <w:rStyle w:val="Odwoanieprzypisudolnego"/>
          <w:rFonts w:ascii="Arial" w:hAnsi="Arial" w:cs="Arial"/>
          <w:color w:val="000000" w:themeColor="text1"/>
        </w:rPr>
        <w:footnoteReference w:id="59"/>
      </w:r>
      <w:r w:rsidR="00417405" w:rsidRPr="00327458">
        <w:rPr>
          <w:rFonts w:ascii="Arial" w:hAnsi="Arial" w:cs="Arial"/>
          <w:color w:val="000000" w:themeColor="text1"/>
        </w:rPr>
        <w:t xml:space="preserve"> czy Dzienn</w:t>
      </w:r>
      <w:r w:rsidR="00F85F76">
        <w:rPr>
          <w:rFonts w:ascii="Arial" w:hAnsi="Arial" w:cs="Arial"/>
          <w:color w:val="000000" w:themeColor="text1"/>
        </w:rPr>
        <w:t>e</w:t>
      </w:r>
      <w:r w:rsidR="00417405" w:rsidRPr="00327458">
        <w:rPr>
          <w:rFonts w:ascii="Arial" w:hAnsi="Arial" w:cs="Arial"/>
          <w:color w:val="000000" w:themeColor="text1"/>
        </w:rPr>
        <w:t xml:space="preserve"> Dom</w:t>
      </w:r>
      <w:r w:rsidR="00F85F76">
        <w:rPr>
          <w:rFonts w:ascii="Arial" w:hAnsi="Arial" w:cs="Arial"/>
          <w:color w:val="000000" w:themeColor="text1"/>
        </w:rPr>
        <w:t>y</w:t>
      </w:r>
      <w:r w:rsidR="00417405" w:rsidRPr="00327458">
        <w:rPr>
          <w:rFonts w:ascii="Arial" w:hAnsi="Arial" w:cs="Arial"/>
          <w:color w:val="000000" w:themeColor="text1"/>
        </w:rPr>
        <w:t xml:space="preserve"> „Senior+” i Klub</w:t>
      </w:r>
      <w:r w:rsidR="00F85F76">
        <w:rPr>
          <w:rFonts w:ascii="Arial" w:hAnsi="Arial" w:cs="Arial"/>
          <w:color w:val="000000" w:themeColor="text1"/>
        </w:rPr>
        <w:t>y</w:t>
      </w:r>
      <w:r w:rsidR="00417405" w:rsidRPr="00327458">
        <w:rPr>
          <w:rFonts w:ascii="Arial" w:hAnsi="Arial" w:cs="Arial"/>
          <w:color w:val="000000" w:themeColor="text1"/>
        </w:rPr>
        <w:t xml:space="preserve"> „Senior+”</w:t>
      </w:r>
      <w:r w:rsidR="00161CF5" w:rsidRPr="00327458">
        <w:rPr>
          <w:rFonts w:ascii="Arial" w:hAnsi="Arial" w:cs="Arial"/>
          <w:color w:val="000000" w:themeColor="text1"/>
        </w:rPr>
        <w:t xml:space="preserve">. W </w:t>
      </w:r>
      <w:r w:rsidR="00A00748" w:rsidRPr="00327458">
        <w:rPr>
          <w:rFonts w:ascii="Arial" w:hAnsi="Arial" w:cs="Arial"/>
          <w:color w:val="000000" w:themeColor="text1"/>
        </w:rPr>
        <w:t>2021 r. działało 16</w:t>
      </w:r>
      <w:r w:rsidR="00B52251" w:rsidRPr="00327458">
        <w:rPr>
          <w:rFonts w:ascii="Arial" w:hAnsi="Arial" w:cs="Arial"/>
          <w:color w:val="000000" w:themeColor="text1"/>
        </w:rPr>
        <w:t xml:space="preserve"> </w:t>
      </w:r>
      <w:r w:rsidR="0077547E" w:rsidRPr="00327458">
        <w:rPr>
          <w:rFonts w:ascii="Arial" w:hAnsi="Arial" w:cs="Arial"/>
          <w:color w:val="000000" w:themeColor="text1"/>
        </w:rPr>
        <w:t xml:space="preserve">(-5,9% r/r) </w:t>
      </w:r>
      <w:r w:rsidR="00A00748" w:rsidRPr="00327458">
        <w:rPr>
          <w:rFonts w:ascii="Arial" w:hAnsi="Arial" w:cs="Arial"/>
          <w:color w:val="000000" w:themeColor="text1"/>
        </w:rPr>
        <w:t>Domów</w:t>
      </w:r>
      <w:r w:rsidR="0077547E" w:rsidRPr="00327458">
        <w:rPr>
          <w:rFonts w:ascii="Arial" w:hAnsi="Arial" w:cs="Arial"/>
          <w:color w:val="000000" w:themeColor="text1"/>
        </w:rPr>
        <w:t xml:space="preserve"> </w:t>
      </w:r>
      <w:r w:rsidR="00A00748" w:rsidRPr="00327458">
        <w:rPr>
          <w:rFonts w:ascii="Arial" w:hAnsi="Arial" w:cs="Arial"/>
          <w:color w:val="000000" w:themeColor="text1"/>
        </w:rPr>
        <w:t>i 36</w:t>
      </w:r>
      <w:r w:rsidR="0077547E" w:rsidRPr="00327458">
        <w:rPr>
          <w:rFonts w:ascii="Arial" w:hAnsi="Arial" w:cs="Arial"/>
          <w:color w:val="000000" w:themeColor="text1"/>
        </w:rPr>
        <w:t xml:space="preserve"> (+9,1% r/r)</w:t>
      </w:r>
      <w:r w:rsidR="00A00748" w:rsidRPr="00327458">
        <w:rPr>
          <w:rFonts w:ascii="Arial" w:hAnsi="Arial" w:cs="Arial"/>
          <w:color w:val="000000" w:themeColor="text1"/>
        </w:rPr>
        <w:t xml:space="preserve"> Klubów „Senior+”, a sumaryczna liczba miejsc była o </w:t>
      </w:r>
      <w:r w:rsidR="008272AB" w:rsidRPr="00327458">
        <w:rPr>
          <w:rFonts w:ascii="Arial" w:hAnsi="Arial" w:cs="Arial"/>
          <w:color w:val="000000" w:themeColor="text1"/>
        </w:rPr>
        <w:t>4</w:t>
      </w:r>
      <w:r w:rsidR="00A00748" w:rsidRPr="00327458">
        <w:rPr>
          <w:rFonts w:ascii="Arial" w:hAnsi="Arial" w:cs="Arial"/>
          <w:color w:val="000000" w:themeColor="text1"/>
        </w:rPr>
        <w:t>0 wyższa niż w 2020 r.</w:t>
      </w:r>
      <w:r w:rsidR="00A00748" w:rsidRPr="00327458">
        <w:rPr>
          <w:rStyle w:val="Odwoanieprzypisudolnego"/>
          <w:rFonts w:ascii="Arial" w:hAnsi="Arial" w:cs="Arial"/>
          <w:color w:val="000000" w:themeColor="text1"/>
        </w:rPr>
        <w:footnoteReference w:id="60"/>
      </w:r>
      <w:r w:rsidR="00A00748" w:rsidRPr="00327458">
        <w:rPr>
          <w:rFonts w:ascii="Arial" w:hAnsi="Arial" w:cs="Arial"/>
          <w:color w:val="000000" w:themeColor="text1"/>
        </w:rPr>
        <w:t>.</w:t>
      </w:r>
      <w:r w:rsidR="009544D0" w:rsidRPr="00327458">
        <w:rPr>
          <w:rFonts w:ascii="Arial" w:hAnsi="Arial" w:cs="Arial"/>
          <w:color w:val="000000" w:themeColor="text1"/>
        </w:rPr>
        <w:t xml:space="preserve"> Wsparcie adresowane osobom starszym w coraz większym stopniu </w:t>
      </w:r>
      <w:r w:rsidR="0025247C" w:rsidRPr="00327458">
        <w:rPr>
          <w:rFonts w:ascii="Arial" w:hAnsi="Arial" w:cs="Arial"/>
          <w:color w:val="000000" w:themeColor="text1"/>
        </w:rPr>
        <w:t>przyjmuje</w:t>
      </w:r>
      <w:r w:rsidR="009544D0" w:rsidRPr="00327458">
        <w:rPr>
          <w:rFonts w:ascii="Arial" w:hAnsi="Arial" w:cs="Arial"/>
          <w:color w:val="000000" w:themeColor="text1"/>
        </w:rPr>
        <w:t xml:space="preserve"> formy lokalne, oparte na samopomocy czy wolontariacie</w:t>
      </w:r>
      <w:r w:rsidR="0044733F" w:rsidRPr="00327458">
        <w:rPr>
          <w:rFonts w:ascii="Arial" w:hAnsi="Arial" w:cs="Arial"/>
          <w:color w:val="000000" w:themeColor="text1"/>
        </w:rPr>
        <w:t>; w skrócie –</w:t>
      </w:r>
      <w:r w:rsidR="007A7109" w:rsidRPr="00327458">
        <w:rPr>
          <w:rFonts w:ascii="Arial" w:hAnsi="Arial" w:cs="Arial"/>
          <w:color w:val="000000" w:themeColor="text1"/>
        </w:rPr>
        <w:t xml:space="preserve"> na aktywnym uczestnictwie </w:t>
      </w:r>
      <w:r w:rsidR="00856156">
        <w:rPr>
          <w:rFonts w:ascii="Arial" w:hAnsi="Arial" w:cs="Arial"/>
          <w:color w:val="000000" w:themeColor="text1"/>
        </w:rPr>
        <w:t xml:space="preserve">osób będących </w:t>
      </w:r>
      <w:r w:rsidR="007A7109" w:rsidRPr="00327458">
        <w:rPr>
          <w:rFonts w:ascii="Arial" w:hAnsi="Arial" w:cs="Arial"/>
          <w:color w:val="000000" w:themeColor="text1"/>
        </w:rPr>
        <w:t>odbiorc</w:t>
      </w:r>
      <w:r w:rsidR="00856156">
        <w:rPr>
          <w:rFonts w:ascii="Arial" w:hAnsi="Arial" w:cs="Arial"/>
          <w:color w:val="000000" w:themeColor="text1"/>
        </w:rPr>
        <w:t>ami</w:t>
      </w:r>
      <w:r w:rsidR="007A7109" w:rsidRPr="00327458">
        <w:rPr>
          <w:rFonts w:ascii="Arial" w:hAnsi="Arial" w:cs="Arial"/>
          <w:color w:val="000000" w:themeColor="text1"/>
        </w:rPr>
        <w:t xml:space="preserve"> tego wsparcia</w:t>
      </w:r>
      <w:r w:rsidR="009544D0" w:rsidRPr="00327458">
        <w:rPr>
          <w:rFonts w:ascii="Arial" w:hAnsi="Arial" w:cs="Arial"/>
          <w:color w:val="000000" w:themeColor="text1"/>
        </w:rPr>
        <w:t>.</w:t>
      </w:r>
    </w:p>
    <w:p w:rsidR="00F133B6" w:rsidRPr="00327458" w:rsidRDefault="001B17B5" w:rsidP="00F133B6">
      <w:pPr>
        <w:spacing w:after="0" w:line="360" w:lineRule="auto"/>
        <w:ind w:firstLine="708"/>
        <w:rPr>
          <w:rFonts w:ascii="Arial" w:hAnsi="Arial" w:cs="Arial"/>
          <w:color w:val="000000" w:themeColor="text1"/>
        </w:rPr>
      </w:pPr>
      <w:r w:rsidRPr="00327458">
        <w:rPr>
          <w:rFonts w:ascii="Arial" w:hAnsi="Arial" w:cs="Arial"/>
          <w:color w:val="000000" w:themeColor="text1"/>
        </w:rPr>
        <w:t>Podobnych konkluzji dostarczają wyniki badania „</w:t>
      </w:r>
      <w:r w:rsidRPr="00327458">
        <w:rPr>
          <w:rFonts w:ascii="Arial" w:hAnsi="Arial" w:cs="Arial"/>
          <w:i/>
          <w:color w:val="000000" w:themeColor="text1"/>
        </w:rPr>
        <w:t>Ocena potrzeb w zakresie rozwoju usług społecznych i infrastruktury społecznej w województwie pomorskim</w:t>
      </w:r>
      <w:r w:rsidRPr="00327458">
        <w:rPr>
          <w:rFonts w:ascii="Arial" w:hAnsi="Arial" w:cs="Arial"/>
          <w:color w:val="000000" w:themeColor="text1"/>
        </w:rPr>
        <w:t xml:space="preserve">”, zgodnie z którymi </w:t>
      </w:r>
      <w:r w:rsidRPr="00327458">
        <w:rPr>
          <w:rFonts w:ascii="Arial" w:hAnsi="Arial" w:cs="Arial"/>
          <w:color w:val="000000" w:themeColor="text1"/>
        </w:rPr>
        <w:lastRenderedPageBreak/>
        <w:t>jedynie 9% osób niesamodzielnych jest objętych publicznymi usługami społecznymi, zaś w przypadku opieki środowiskowej odsetek ten jest jeszcze niższy i wynosi około 6,6%</w:t>
      </w:r>
      <w:r w:rsidRPr="00327458">
        <w:rPr>
          <w:rStyle w:val="Odwoanieprzypisudolnego"/>
          <w:rFonts w:ascii="Arial" w:hAnsi="Arial" w:cs="Arial"/>
          <w:color w:val="000000" w:themeColor="text1"/>
        </w:rPr>
        <w:footnoteReference w:id="61"/>
      </w:r>
      <w:r w:rsidRPr="00327458">
        <w:rPr>
          <w:rFonts w:ascii="Arial" w:hAnsi="Arial" w:cs="Arial"/>
          <w:color w:val="000000" w:themeColor="text1"/>
        </w:rPr>
        <w:t>.</w:t>
      </w:r>
    </w:p>
    <w:p w:rsidR="00C3670A" w:rsidRPr="00327458" w:rsidRDefault="003E2307" w:rsidP="00C3670A">
      <w:pPr>
        <w:spacing w:after="0" w:line="360" w:lineRule="auto"/>
        <w:ind w:firstLine="709"/>
        <w:rPr>
          <w:rFonts w:ascii="Arial" w:hAnsi="Arial" w:cs="Arial"/>
          <w:color w:val="000000" w:themeColor="text1"/>
        </w:rPr>
      </w:pPr>
      <w:r w:rsidRPr="00327458">
        <w:rPr>
          <w:rFonts w:ascii="Arial" w:hAnsi="Arial" w:cs="Arial"/>
          <w:color w:val="000000" w:themeColor="text1"/>
        </w:rPr>
        <w:t xml:space="preserve">W ramach opieki medycznej nad osobami niesamodzielnymi jedną z form deinstytucjonalizacji są </w:t>
      </w:r>
      <w:r w:rsidR="00503735">
        <w:rPr>
          <w:rFonts w:ascii="Arial" w:hAnsi="Arial" w:cs="Arial"/>
          <w:color w:val="000000" w:themeColor="text1"/>
        </w:rPr>
        <w:t>d</w:t>
      </w:r>
      <w:r w:rsidRPr="00327458">
        <w:rPr>
          <w:rFonts w:ascii="Arial" w:hAnsi="Arial" w:cs="Arial"/>
          <w:color w:val="000000" w:themeColor="text1"/>
        </w:rPr>
        <w:t xml:space="preserve">zienne </w:t>
      </w:r>
      <w:r w:rsidR="00503735">
        <w:rPr>
          <w:rFonts w:ascii="Arial" w:hAnsi="Arial" w:cs="Arial"/>
          <w:color w:val="000000" w:themeColor="text1"/>
        </w:rPr>
        <w:t>d</w:t>
      </w:r>
      <w:r w:rsidRPr="00327458">
        <w:rPr>
          <w:rFonts w:ascii="Arial" w:hAnsi="Arial" w:cs="Arial"/>
          <w:color w:val="000000" w:themeColor="text1"/>
        </w:rPr>
        <w:t xml:space="preserve">omy </w:t>
      </w:r>
      <w:r w:rsidR="00503735">
        <w:rPr>
          <w:rFonts w:ascii="Arial" w:hAnsi="Arial" w:cs="Arial"/>
          <w:color w:val="000000" w:themeColor="text1"/>
        </w:rPr>
        <w:t>o</w:t>
      </w:r>
      <w:r w:rsidRPr="00327458">
        <w:rPr>
          <w:rFonts w:ascii="Arial" w:hAnsi="Arial" w:cs="Arial"/>
          <w:color w:val="000000" w:themeColor="text1"/>
        </w:rPr>
        <w:t xml:space="preserve">pieki </w:t>
      </w:r>
      <w:r w:rsidR="00503735">
        <w:rPr>
          <w:rFonts w:ascii="Arial" w:hAnsi="Arial" w:cs="Arial"/>
          <w:color w:val="000000" w:themeColor="text1"/>
        </w:rPr>
        <w:t>m</w:t>
      </w:r>
      <w:r w:rsidRPr="00327458">
        <w:rPr>
          <w:rFonts w:ascii="Arial" w:hAnsi="Arial" w:cs="Arial"/>
          <w:color w:val="000000" w:themeColor="text1"/>
        </w:rPr>
        <w:t>edycznej (DDOM). DDOM stanowi wyodrębnion</w:t>
      </w:r>
      <w:r w:rsidR="00503735">
        <w:rPr>
          <w:rFonts w:ascii="Arial" w:hAnsi="Arial" w:cs="Arial"/>
          <w:color w:val="000000" w:themeColor="text1"/>
        </w:rPr>
        <w:t>ą</w:t>
      </w:r>
      <w:r w:rsidRPr="00327458">
        <w:rPr>
          <w:rFonts w:ascii="Arial" w:hAnsi="Arial" w:cs="Arial"/>
          <w:color w:val="000000" w:themeColor="text1"/>
        </w:rPr>
        <w:t xml:space="preserve"> strukturalnie część podmiotu leczniczego, gdzie zapewnia się opiekę medyczną w warunkach zbliżonych do domowych. Powstanie dziennych domów opieki medycznej (DDOM) wiąże się z polityką państwa na rzecz poprawy opieki nad osobami niesamodzielnymi, w szczególności osobami starszymi. Głównym ich celem jest poprawa stanu zdrowia i usamodzielnienie osób starszych i </w:t>
      </w:r>
      <w:r w:rsidR="00C5203F">
        <w:rPr>
          <w:rFonts w:ascii="Arial" w:hAnsi="Arial" w:cs="Arial"/>
          <w:color w:val="000000" w:themeColor="text1"/>
        </w:rPr>
        <w:t>z niepełnosprawnościami</w:t>
      </w:r>
      <w:r w:rsidRPr="00327458">
        <w:rPr>
          <w:rFonts w:ascii="Arial" w:hAnsi="Arial" w:cs="Arial"/>
          <w:color w:val="000000" w:themeColor="text1"/>
        </w:rPr>
        <w:t xml:space="preserve"> oraz przygotowanie podopiecznych i ich rodzin do samodzielnej opieki i funkcjonowania pacjenta. Standard dziennego domu opieki medycznej został pilotażowo przetestowany w ramach Programu Operacyjnego Wiedza Edukacja Rozwój w dwóch placówkach województwa pomorskiego w Gdańsku. </w:t>
      </w:r>
      <w:r w:rsidR="006D782C" w:rsidRPr="00327458">
        <w:rPr>
          <w:rFonts w:ascii="Arial" w:hAnsi="Arial" w:cs="Arial"/>
          <w:color w:val="000000" w:themeColor="text1"/>
        </w:rPr>
        <w:t>Ze względu na brak możliwości finansowania DDOM ze środków Narodowego Funduszu Zdrowia, a</w:t>
      </w:r>
      <w:r w:rsidRPr="00327458">
        <w:rPr>
          <w:rFonts w:ascii="Arial" w:hAnsi="Arial" w:cs="Arial"/>
          <w:color w:val="000000" w:themeColor="text1"/>
        </w:rPr>
        <w:t xml:space="preserve">ktualnie w województwie nie funkcjonuje </w:t>
      </w:r>
      <w:r w:rsidR="006D782C" w:rsidRPr="00327458">
        <w:rPr>
          <w:rFonts w:ascii="Arial" w:hAnsi="Arial" w:cs="Arial"/>
          <w:color w:val="000000" w:themeColor="text1"/>
        </w:rPr>
        <w:t>żadna taka placówka</w:t>
      </w:r>
      <w:r w:rsidRPr="00327458">
        <w:rPr>
          <w:rFonts w:ascii="Arial" w:hAnsi="Arial" w:cs="Arial"/>
          <w:color w:val="000000" w:themeColor="text1"/>
        </w:rPr>
        <w:t>.</w:t>
      </w:r>
    </w:p>
    <w:p w:rsidR="00F133B6" w:rsidRPr="00327458" w:rsidRDefault="005B332C" w:rsidP="00C3670A">
      <w:pPr>
        <w:spacing w:line="360" w:lineRule="auto"/>
        <w:ind w:firstLine="708"/>
        <w:rPr>
          <w:rFonts w:ascii="Arial" w:hAnsi="Arial" w:cs="Arial"/>
          <w:color w:val="000000" w:themeColor="text1"/>
        </w:rPr>
      </w:pPr>
      <w:r w:rsidRPr="00327458">
        <w:rPr>
          <w:rFonts w:ascii="Arial" w:hAnsi="Arial" w:cs="Arial"/>
          <w:color w:val="000000" w:themeColor="text1"/>
        </w:rPr>
        <w:t>Województwo pomorskie zaj</w:t>
      </w:r>
      <w:r w:rsidR="00F133B6" w:rsidRPr="00327458">
        <w:rPr>
          <w:rFonts w:ascii="Arial" w:hAnsi="Arial" w:cs="Arial"/>
          <w:color w:val="000000" w:themeColor="text1"/>
        </w:rPr>
        <w:t>m</w:t>
      </w:r>
      <w:r w:rsidRPr="00327458">
        <w:rPr>
          <w:rFonts w:ascii="Arial" w:hAnsi="Arial" w:cs="Arial"/>
          <w:color w:val="000000" w:themeColor="text1"/>
        </w:rPr>
        <w:t>uje trzecie miejsce w kraju w rankingu dotyczącym przeciętnego zadłużenia 1 kredytobiorcy w wieku 60 lat i więcej</w:t>
      </w:r>
      <w:r w:rsidR="000E291F" w:rsidRPr="00327458">
        <w:rPr>
          <w:rFonts w:ascii="Arial" w:hAnsi="Arial" w:cs="Arial"/>
          <w:color w:val="000000" w:themeColor="text1"/>
        </w:rPr>
        <w:t xml:space="preserve"> </w:t>
      </w:r>
      <w:r w:rsidRPr="00327458">
        <w:rPr>
          <w:rFonts w:ascii="Arial" w:hAnsi="Arial" w:cs="Arial"/>
          <w:color w:val="000000" w:themeColor="text1"/>
        </w:rPr>
        <w:t>z tytułu kredytów konsumpcyjnych</w:t>
      </w:r>
      <w:r w:rsidR="00676661" w:rsidRPr="00327458">
        <w:rPr>
          <w:rFonts w:ascii="Arial" w:hAnsi="Arial" w:cs="Arial"/>
          <w:color w:val="000000" w:themeColor="text1"/>
        </w:rPr>
        <w:t xml:space="preserve"> – według stanu na 31 grudnia 2021 r. </w:t>
      </w:r>
      <w:r w:rsidRPr="00327458">
        <w:rPr>
          <w:rFonts w:ascii="Arial" w:hAnsi="Arial" w:cs="Arial"/>
          <w:color w:val="000000" w:themeColor="text1"/>
        </w:rPr>
        <w:t>wyniósł 20,5 tys. zł</w:t>
      </w:r>
      <w:r w:rsidR="004A4149" w:rsidRPr="00327458">
        <w:rPr>
          <w:rFonts w:ascii="Arial" w:hAnsi="Arial" w:cs="Arial"/>
          <w:color w:val="000000" w:themeColor="text1"/>
        </w:rPr>
        <w:t>;</w:t>
      </w:r>
      <w:r w:rsidR="00C942DB" w:rsidRPr="00327458">
        <w:rPr>
          <w:rFonts w:ascii="Arial" w:hAnsi="Arial" w:cs="Arial"/>
          <w:color w:val="000000" w:themeColor="text1"/>
        </w:rPr>
        <w:t xml:space="preserve"> drugie miejsce pod kątem wysokości zadłużenia w tej grupie kredytobiorców z tytułu kredytów hipotecznych (92,5 tys. zł), a także drugie miejsce ze względu na zadłużenie z tytułu kart kredytowych i</w:t>
      </w:r>
      <w:r w:rsidR="00F133B6" w:rsidRPr="00327458">
        <w:rPr>
          <w:rFonts w:ascii="Arial" w:hAnsi="Arial" w:cs="Arial"/>
          <w:color w:val="000000" w:themeColor="text1"/>
        </w:rPr>
        <w:t> </w:t>
      </w:r>
      <w:r w:rsidR="00C942DB" w:rsidRPr="00327458">
        <w:rPr>
          <w:rFonts w:ascii="Arial" w:hAnsi="Arial" w:cs="Arial"/>
          <w:color w:val="000000" w:themeColor="text1"/>
        </w:rPr>
        <w:t>limitów debetowych (1,6 tys.)</w:t>
      </w:r>
      <w:r w:rsidR="00676661" w:rsidRPr="00327458">
        <w:rPr>
          <w:rStyle w:val="Odwoanieprzypisudolnego"/>
          <w:rFonts w:ascii="Arial" w:hAnsi="Arial" w:cs="Arial"/>
          <w:color w:val="000000" w:themeColor="text1"/>
        </w:rPr>
        <w:footnoteReference w:id="62"/>
      </w:r>
      <w:r w:rsidR="00676661" w:rsidRPr="00327458">
        <w:rPr>
          <w:rFonts w:ascii="Arial" w:hAnsi="Arial" w:cs="Arial"/>
          <w:color w:val="000000" w:themeColor="text1"/>
        </w:rPr>
        <w:t>.</w:t>
      </w:r>
      <w:r w:rsidR="000E291F" w:rsidRPr="00327458">
        <w:rPr>
          <w:rFonts w:ascii="Arial" w:hAnsi="Arial" w:cs="Arial"/>
          <w:color w:val="000000" w:themeColor="text1"/>
        </w:rPr>
        <w:t xml:space="preserve"> </w:t>
      </w:r>
      <w:r w:rsidR="00F133B6" w:rsidRPr="00327458">
        <w:rPr>
          <w:rFonts w:ascii="Arial" w:hAnsi="Arial" w:cs="Arial"/>
          <w:color w:val="000000" w:themeColor="text1"/>
        </w:rPr>
        <w:t>Sytuację zadłużenia osób w wieku senioralnym warto analizować w kontekście potencjalnego zagrożenia znalezienia się w kryzysie bezdomności. Wysoki poziom zadłużenia z różnych tytułów, niski poziom przychodów z emerytury lub renty, wydatki związane ze zdrowiem oraz rosnące koszty utrzymania sprawiają, że rośnie ryzyko utraty płynności i stabilności finansowej.</w:t>
      </w:r>
    </w:p>
    <w:p w:rsidR="00867FDD" w:rsidRPr="00327458" w:rsidRDefault="00867FDD" w:rsidP="00867FDD">
      <w:pPr>
        <w:pStyle w:val="Nagwek3"/>
        <w:spacing w:before="100" w:beforeAutospacing="1" w:after="100" w:afterAutospacing="1"/>
        <w:rPr>
          <w:rFonts w:cs="Arial"/>
          <w:color w:val="000000" w:themeColor="text1"/>
        </w:rPr>
      </w:pPr>
      <w:r w:rsidRPr="00327458">
        <w:rPr>
          <w:rFonts w:cs="Arial"/>
          <w:color w:val="000000" w:themeColor="text1"/>
        </w:rPr>
        <w:t>Wnioski</w:t>
      </w:r>
    </w:p>
    <w:p w:rsidR="006D194E" w:rsidRPr="00327458" w:rsidRDefault="003A7AE3" w:rsidP="00BD5917">
      <w:pPr>
        <w:spacing w:after="0" w:line="360" w:lineRule="auto"/>
        <w:rPr>
          <w:rFonts w:ascii="Arial" w:hAnsi="Arial" w:cs="Arial"/>
          <w:color w:val="000000" w:themeColor="text1"/>
        </w:rPr>
      </w:pPr>
      <w:r w:rsidRPr="00327458">
        <w:rPr>
          <w:rFonts w:ascii="Arial" w:hAnsi="Arial" w:cs="Arial"/>
          <w:color w:val="000000" w:themeColor="text1"/>
        </w:rPr>
        <w:t xml:space="preserve">Rozwój i deinstytucjonalizacja usług społecznych i zdrowotnych skierowanych do osób starszych </w:t>
      </w:r>
      <w:r w:rsidR="00574387" w:rsidRPr="00327458">
        <w:rPr>
          <w:rFonts w:ascii="Arial" w:hAnsi="Arial" w:cs="Arial"/>
          <w:color w:val="000000" w:themeColor="text1"/>
        </w:rPr>
        <w:t xml:space="preserve">ze względu na kontekst demograficzny i rosnące potrzeby na usługi dedykowane tej grupie </w:t>
      </w:r>
      <w:r w:rsidRPr="00327458">
        <w:rPr>
          <w:rFonts w:ascii="Arial" w:hAnsi="Arial" w:cs="Arial"/>
          <w:color w:val="000000" w:themeColor="text1"/>
        </w:rPr>
        <w:t>powinn</w:t>
      </w:r>
      <w:r w:rsidR="0043169C">
        <w:rPr>
          <w:rFonts w:ascii="Arial" w:hAnsi="Arial" w:cs="Arial"/>
          <w:color w:val="000000" w:themeColor="text1"/>
        </w:rPr>
        <w:t xml:space="preserve">y </w:t>
      </w:r>
      <w:r w:rsidRPr="00327458">
        <w:rPr>
          <w:rFonts w:ascii="Arial" w:hAnsi="Arial" w:cs="Arial"/>
          <w:color w:val="000000" w:themeColor="text1"/>
        </w:rPr>
        <w:t xml:space="preserve">obejmować </w:t>
      </w:r>
      <w:r w:rsidR="00B46B0F" w:rsidRPr="00327458">
        <w:rPr>
          <w:rFonts w:ascii="Arial" w:hAnsi="Arial" w:cs="Arial"/>
          <w:color w:val="000000" w:themeColor="text1"/>
        </w:rPr>
        <w:t>przede wszystkim</w:t>
      </w:r>
      <w:r w:rsidR="00AC33D2" w:rsidRPr="00327458">
        <w:rPr>
          <w:rFonts w:ascii="Arial" w:hAnsi="Arial" w:cs="Arial"/>
          <w:color w:val="000000" w:themeColor="text1"/>
        </w:rPr>
        <w:t xml:space="preserve"> rozwój siatki </w:t>
      </w:r>
      <w:r w:rsidR="00574387" w:rsidRPr="00327458">
        <w:rPr>
          <w:rFonts w:ascii="Arial" w:hAnsi="Arial" w:cs="Arial"/>
          <w:color w:val="000000" w:themeColor="text1"/>
        </w:rPr>
        <w:t>środowiskowych usług opiekuńczych, wspomaganych wsparciem stacjonarnym</w:t>
      </w:r>
      <w:r w:rsidR="0069291F" w:rsidRPr="00327458">
        <w:rPr>
          <w:rFonts w:ascii="Arial" w:hAnsi="Arial" w:cs="Arial"/>
          <w:color w:val="000000" w:themeColor="text1"/>
        </w:rPr>
        <w:t>/ półstacjonarnym</w:t>
      </w:r>
      <w:r w:rsidR="00574387" w:rsidRPr="00327458">
        <w:rPr>
          <w:rFonts w:ascii="Arial" w:hAnsi="Arial" w:cs="Arial"/>
          <w:color w:val="000000" w:themeColor="text1"/>
        </w:rPr>
        <w:t>.</w:t>
      </w:r>
      <w:r w:rsidR="006A3F79" w:rsidRPr="00327458">
        <w:rPr>
          <w:rFonts w:ascii="Arial" w:hAnsi="Arial" w:cs="Arial"/>
          <w:color w:val="000000" w:themeColor="text1"/>
        </w:rPr>
        <w:t xml:space="preserve"> Głównym celem jest ograniczanie konieczności stosowania opieki instytucjonalnej</w:t>
      </w:r>
      <w:r w:rsidR="00461326" w:rsidRPr="00327458">
        <w:rPr>
          <w:rFonts w:ascii="Arial" w:hAnsi="Arial" w:cs="Arial"/>
          <w:color w:val="000000" w:themeColor="text1"/>
        </w:rPr>
        <w:t>, a a</w:t>
      </w:r>
      <w:r w:rsidR="000D7340" w:rsidRPr="00327458">
        <w:rPr>
          <w:rFonts w:ascii="Arial" w:hAnsi="Arial" w:cs="Arial"/>
          <w:color w:val="000000" w:themeColor="text1"/>
        </w:rPr>
        <w:t xml:space="preserve">lternatywą dla umieszczania osób starszych w placówkach całodobowego wsparcia jest rozwój usług </w:t>
      </w:r>
      <w:r w:rsidR="000D7340" w:rsidRPr="00327458">
        <w:rPr>
          <w:rFonts w:ascii="Arial" w:hAnsi="Arial" w:cs="Arial"/>
          <w:color w:val="000000" w:themeColor="text1"/>
        </w:rPr>
        <w:lastRenderedPageBreak/>
        <w:t xml:space="preserve">mieszkalnictwa chronionego </w:t>
      </w:r>
      <w:r w:rsidR="008C4045" w:rsidRPr="00327458">
        <w:rPr>
          <w:rFonts w:ascii="Arial" w:hAnsi="Arial" w:cs="Arial"/>
          <w:color w:val="000000" w:themeColor="text1"/>
        </w:rPr>
        <w:t>wspieranego</w:t>
      </w:r>
      <w:r w:rsidR="000D7340" w:rsidRPr="00327458">
        <w:rPr>
          <w:rFonts w:ascii="Arial" w:hAnsi="Arial" w:cs="Arial"/>
          <w:color w:val="000000" w:themeColor="text1"/>
        </w:rPr>
        <w:t xml:space="preserve"> i</w:t>
      </w:r>
      <w:r w:rsidR="00EC395B" w:rsidRPr="00327458">
        <w:rPr>
          <w:rFonts w:ascii="Arial" w:hAnsi="Arial" w:cs="Arial"/>
          <w:color w:val="000000" w:themeColor="text1"/>
        </w:rPr>
        <w:t> </w:t>
      </w:r>
      <w:r w:rsidR="000D7340" w:rsidRPr="00327458">
        <w:rPr>
          <w:rFonts w:ascii="Arial" w:hAnsi="Arial" w:cs="Arial"/>
          <w:color w:val="000000" w:themeColor="text1"/>
        </w:rPr>
        <w:t>treningowego, a także innych form np. wspólnot domowych czy mieszkaniowych.</w:t>
      </w:r>
    </w:p>
    <w:p w:rsidR="000377D8" w:rsidRPr="00327458" w:rsidRDefault="006D194E" w:rsidP="008F0355">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Kierunki rozwoju wsparcia w formie dziennej i stacjonarnej (m.in. kluby seniora, DDOM-y) powinny być organizowane w sposób uwzględniający możliwość pozostawania opiekunów aktywnymi zawodowo. </w:t>
      </w:r>
      <w:r w:rsidR="008F0355" w:rsidRPr="00327458">
        <w:rPr>
          <w:rFonts w:ascii="Arial" w:hAnsi="Arial" w:cs="Arial"/>
          <w:color w:val="000000" w:themeColor="text1"/>
        </w:rPr>
        <w:t>P</w:t>
      </w:r>
      <w:r w:rsidRPr="00327458">
        <w:rPr>
          <w:rFonts w:ascii="Arial" w:hAnsi="Arial" w:cs="Arial"/>
          <w:color w:val="000000" w:themeColor="text1"/>
        </w:rPr>
        <w:t>owinny być zatem uzupełniane innymi usługami społecznymi</w:t>
      </w:r>
      <w:r w:rsidR="008F0355" w:rsidRPr="00327458">
        <w:rPr>
          <w:rFonts w:ascii="Arial" w:hAnsi="Arial" w:cs="Arial"/>
          <w:color w:val="000000" w:themeColor="text1"/>
        </w:rPr>
        <w:t xml:space="preserve">, przede wszystkim </w:t>
      </w:r>
      <w:r w:rsidRPr="00327458">
        <w:rPr>
          <w:rFonts w:ascii="Arial" w:hAnsi="Arial" w:cs="Arial"/>
          <w:color w:val="000000" w:themeColor="text1"/>
        </w:rPr>
        <w:t>asystenckim</w:t>
      </w:r>
      <w:r w:rsidR="008F0355" w:rsidRPr="00327458">
        <w:rPr>
          <w:rFonts w:ascii="Arial" w:hAnsi="Arial" w:cs="Arial"/>
          <w:color w:val="000000" w:themeColor="text1"/>
        </w:rPr>
        <w:t xml:space="preserve">i. Wsparcie osób starszych na poziomie lokalnej społeczności powinno uwzględniać formy samopomocowe oraz pomocy sąsiedzkiej – w tym zakresie projektowane jest </w:t>
      </w:r>
      <w:r w:rsidR="0048205F" w:rsidRPr="00327458">
        <w:rPr>
          <w:rFonts w:ascii="Arial" w:hAnsi="Arial" w:cs="Arial"/>
          <w:color w:val="000000" w:themeColor="text1"/>
        </w:rPr>
        <w:t>wpisanie usługi do znowelizowanej ustawy o pomocy społecznej</w:t>
      </w:r>
      <w:r w:rsidR="0071064D" w:rsidRPr="00327458">
        <w:rPr>
          <w:rStyle w:val="Odwoanieprzypisudolnego"/>
          <w:rFonts w:ascii="Arial" w:hAnsi="Arial" w:cs="Arial"/>
          <w:color w:val="000000" w:themeColor="text1"/>
        </w:rPr>
        <w:footnoteReference w:id="63"/>
      </w:r>
      <w:r w:rsidR="0071064D" w:rsidRPr="00327458">
        <w:rPr>
          <w:rFonts w:ascii="Arial" w:hAnsi="Arial" w:cs="Arial"/>
          <w:color w:val="000000" w:themeColor="text1"/>
        </w:rPr>
        <w:t>.</w:t>
      </w:r>
    </w:p>
    <w:p w:rsidR="004D47A2" w:rsidRPr="00327458" w:rsidRDefault="000377D8" w:rsidP="00E2345C">
      <w:pPr>
        <w:spacing w:line="360" w:lineRule="auto"/>
        <w:ind w:firstLine="708"/>
        <w:rPr>
          <w:rFonts w:ascii="Arial" w:hAnsi="Arial" w:cs="Arial"/>
          <w:color w:val="000000" w:themeColor="text1"/>
        </w:rPr>
      </w:pPr>
      <w:r w:rsidRPr="00327458">
        <w:rPr>
          <w:rFonts w:ascii="Arial" w:hAnsi="Arial" w:cs="Arial"/>
          <w:color w:val="000000" w:themeColor="text1"/>
        </w:rPr>
        <w:t xml:space="preserve">Ważnym kryterium jest kompleksowość </w:t>
      </w:r>
      <w:r w:rsidR="00857384" w:rsidRPr="00327458">
        <w:rPr>
          <w:rFonts w:ascii="Arial" w:hAnsi="Arial" w:cs="Arial"/>
          <w:color w:val="000000" w:themeColor="text1"/>
        </w:rPr>
        <w:t>wsparcia, by nie odgrywało roli „swoistego plastra nakładanego na niewydolny system wsparcia”</w:t>
      </w:r>
      <w:r w:rsidR="00857384" w:rsidRPr="00327458">
        <w:rPr>
          <w:rStyle w:val="Odwoanieprzypisudolnego"/>
          <w:rFonts w:ascii="Arial" w:hAnsi="Arial" w:cs="Arial"/>
          <w:color w:val="000000" w:themeColor="text1"/>
        </w:rPr>
        <w:footnoteReference w:id="64"/>
      </w:r>
      <w:r w:rsidR="00857384" w:rsidRPr="00327458">
        <w:rPr>
          <w:rFonts w:ascii="Arial" w:hAnsi="Arial" w:cs="Arial"/>
          <w:color w:val="000000" w:themeColor="text1"/>
        </w:rPr>
        <w:t>.</w:t>
      </w:r>
      <w:r w:rsidR="006D194E" w:rsidRPr="00327458">
        <w:rPr>
          <w:rFonts w:ascii="Arial" w:hAnsi="Arial" w:cs="Arial"/>
          <w:color w:val="000000" w:themeColor="text1"/>
        </w:rPr>
        <w:t xml:space="preserve"> Realizacja tego kryterium w praktyce może oznaczać uruchomienie punktów informacyjnych, w których osoby starsze oraz </w:t>
      </w:r>
      <w:r w:rsidR="00407E2F">
        <w:rPr>
          <w:rFonts w:ascii="Arial" w:hAnsi="Arial" w:cs="Arial"/>
          <w:color w:val="000000" w:themeColor="text1"/>
        </w:rPr>
        <w:t>osoby opiekujące się nimi</w:t>
      </w:r>
      <w:r w:rsidR="006D194E" w:rsidRPr="00327458">
        <w:rPr>
          <w:rFonts w:ascii="Arial" w:hAnsi="Arial" w:cs="Arial"/>
          <w:color w:val="000000" w:themeColor="text1"/>
        </w:rPr>
        <w:t xml:space="preserve"> mogliby dowiedzieć się, z jakich form wsparcia/pomocy mogą skorzystać i gdzie się o nie ubiegać. Potencjał tkwi w tym przypadku w Centach Usług Społecznych </w:t>
      </w:r>
      <w:r w:rsidR="008F4BB5" w:rsidRPr="00327458">
        <w:rPr>
          <w:rFonts w:ascii="Arial" w:hAnsi="Arial" w:cs="Arial"/>
          <w:color w:val="000000" w:themeColor="text1"/>
        </w:rPr>
        <w:t>oraz usługach Menadżera Opieki</w:t>
      </w:r>
      <w:r w:rsidR="00302F69" w:rsidRPr="00327458">
        <w:rPr>
          <w:rFonts w:ascii="Arial" w:hAnsi="Arial" w:cs="Arial"/>
          <w:color w:val="000000" w:themeColor="text1"/>
        </w:rPr>
        <w:t xml:space="preserve"> – osoby specjalizującej się w koordynowaniu i projektowaniu działań pomiędzy osobą zależną, opiekunem a placówkami, instytucjami i usługami</w:t>
      </w:r>
      <w:r w:rsidR="00CE034B" w:rsidRPr="00327458">
        <w:rPr>
          <w:rFonts w:ascii="Arial" w:hAnsi="Arial" w:cs="Arial"/>
          <w:color w:val="000000" w:themeColor="text1"/>
        </w:rPr>
        <w:t xml:space="preserve"> (m.in. wskazywanie miejsc oraz wsparcie organizacyjne dla opiekuna w zakresie łączenia opieki z</w:t>
      </w:r>
      <w:r w:rsidR="00EC395B" w:rsidRPr="00327458">
        <w:rPr>
          <w:rFonts w:ascii="Arial" w:hAnsi="Arial" w:cs="Arial"/>
          <w:color w:val="000000" w:themeColor="text1"/>
        </w:rPr>
        <w:t> </w:t>
      </w:r>
      <w:r w:rsidR="00CE034B" w:rsidRPr="00327458">
        <w:rPr>
          <w:rFonts w:ascii="Arial" w:hAnsi="Arial" w:cs="Arial"/>
          <w:color w:val="000000" w:themeColor="text1"/>
        </w:rPr>
        <w:t>aktywnością zawodową)</w:t>
      </w:r>
      <w:r w:rsidR="008F4BB5" w:rsidRPr="00327458">
        <w:rPr>
          <w:rStyle w:val="Odwoanieprzypisudolnego"/>
          <w:rFonts w:ascii="Arial" w:hAnsi="Arial" w:cs="Arial"/>
          <w:color w:val="000000" w:themeColor="text1"/>
        </w:rPr>
        <w:footnoteReference w:id="65"/>
      </w:r>
      <w:r w:rsidR="008F4BB5" w:rsidRPr="00327458">
        <w:rPr>
          <w:rFonts w:ascii="Arial" w:hAnsi="Arial" w:cs="Arial"/>
          <w:color w:val="000000" w:themeColor="text1"/>
        </w:rPr>
        <w:t>.</w:t>
      </w:r>
      <w:r w:rsidR="00E2345C" w:rsidRPr="00327458">
        <w:rPr>
          <w:rFonts w:ascii="Arial" w:hAnsi="Arial" w:cs="Arial"/>
          <w:color w:val="000000" w:themeColor="text1"/>
        </w:rPr>
        <w:t xml:space="preserve"> </w:t>
      </w:r>
      <w:r w:rsidR="004D47A2" w:rsidRPr="00327458">
        <w:rPr>
          <w:rFonts w:ascii="Arial" w:hAnsi="Arial" w:cs="Arial"/>
          <w:color w:val="000000" w:themeColor="text1"/>
        </w:rPr>
        <w:t>Usługi społeczne odgrywają kluczową rolę w utrzymywaniu aktywnego życia osób starszych, ograniczając występowanie zjawisk marginalizacji i</w:t>
      </w:r>
      <w:r w:rsidR="00EC395B" w:rsidRPr="00327458">
        <w:rPr>
          <w:rFonts w:ascii="Arial" w:hAnsi="Arial" w:cs="Arial"/>
          <w:color w:val="000000" w:themeColor="text1"/>
        </w:rPr>
        <w:t> </w:t>
      </w:r>
      <w:r w:rsidR="004D47A2" w:rsidRPr="00327458">
        <w:rPr>
          <w:rFonts w:ascii="Arial" w:hAnsi="Arial" w:cs="Arial"/>
          <w:color w:val="000000" w:themeColor="text1"/>
        </w:rPr>
        <w:t>wykluczenia społecznego.</w:t>
      </w:r>
    </w:p>
    <w:p w:rsidR="00692F65" w:rsidRPr="00327458" w:rsidRDefault="00692F65" w:rsidP="00EC762F">
      <w:pPr>
        <w:pStyle w:val="Nagwek2"/>
        <w:rPr>
          <w:rFonts w:cs="Arial"/>
          <w:color w:val="000000" w:themeColor="text1"/>
        </w:rPr>
      </w:pPr>
      <w:r w:rsidRPr="0084776F">
        <w:rPr>
          <w:rFonts w:cs="Arial"/>
          <w:color w:val="000000" w:themeColor="text1"/>
        </w:rPr>
        <w:t>Osoby w kryzysie bezdomności</w:t>
      </w:r>
    </w:p>
    <w:p w:rsidR="00F124EE" w:rsidRPr="00327458" w:rsidRDefault="005014DB" w:rsidP="00AB6398">
      <w:pPr>
        <w:spacing w:after="0" w:line="360" w:lineRule="auto"/>
        <w:rPr>
          <w:rFonts w:ascii="Arial" w:hAnsi="Arial" w:cs="Arial"/>
          <w:color w:val="000000" w:themeColor="text1"/>
        </w:rPr>
      </w:pPr>
      <w:r w:rsidRPr="00327458">
        <w:rPr>
          <w:rFonts w:ascii="Arial" w:hAnsi="Arial" w:cs="Arial"/>
          <w:color w:val="000000" w:themeColor="text1"/>
        </w:rPr>
        <w:t>W 2021 r. liczba świadczeń z pomocy społecznej przyznanych z tytułu bezdomności wyniosła 3,3 tys. – było to o 3,4% więcej niż przed rokiem</w:t>
      </w:r>
      <w:r w:rsidRPr="00327458">
        <w:rPr>
          <w:rStyle w:val="Odwoanieprzypisudolnego"/>
          <w:rFonts w:ascii="Arial" w:hAnsi="Arial" w:cs="Arial"/>
          <w:color w:val="000000" w:themeColor="text1"/>
        </w:rPr>
        <w:footnoteReference w:id="66"/>
      </w:r>
      <w:r w:rsidRPr="00327458">
        <w:rPr>
          <w:rFonts w:ascii="Arial" w:hAnsi="Arial" w:cs="Arial"/>
          <w:color w:val="000000" w:themeColor="text1"/>
        </w:rPr>
        <w:t>.</w:t>
      </w:r>
      <w:r w:rsidR="00740B74" w:rsidRPr="00327458">
        <w:rPr>
          <w:rFonts w:ascii="Arial" w:hAnsi="Arial" w:cs="Arial"/>
          <w:color w:val="000000" w:themeColor="text1"/>
        </w:rPr>
        <w:t xml:space="preserve"> Zatem choć liczba osób znajdujących się w kryzysie bezdomności wzrasta, liczba placówek, w których mogą uzyskać wsparcie maleje</w:t>
      </w:r>
      <w:r w:rsidR="00F124EE" w:rsidRPr="00327458">
        <w:rPr>
          <w:rFonts w:ascii="Arial" w:hAnsi="Arial" w:cs="Arial"/>
          <w:color w:val="000000" w:themeColor="text1"/>
        </w:rPr>
        <w:t>, czego przyczyną we wspomnianym okresie były m.in. zmian</w:t>
      </w:r>
      <w:r w:rsidR="00306A00" w:rsidRPr="00327458">
        <w:rPr>
          <w:rFonts w:ascii="Arial" w:hAnsi="Arial" w:cs="Arial"/>
          <w:color w:val="000000" w:themeColor="text1"/>
        </w:rPr>
        <w:t>y</w:t>
      </w:r>
      <w:r w:rsidR="00F124EE" w:rsidRPr="00327458">
        <w:rPr>
          <w:rFonts w:ascii="Arial" w:hAnsi="Arial" w:cs="Arial"/>
          <w:color w:val="000000" w:themeColor="text1"/>
        </w:rPr>
        <w:t xml:space="preserve"> formy placówki czy </w:t>
      </w:r>
      <w:r w:rsidR="004F368B">
        <w:rPr>
          <w:rFonts w:ascii="Arial" w:hAnsi="Arial" w:cs="Arial"/>
          <w:color w:val="000000" w:themeColor="text1"/>
        </w:rPr>
        <w:t xml:space="preserve">te </w:t>
      </w:r>
      <w:r w:rsidR="00F124EE" w:rsidRPr="00327458">
        <w:rPr>
          <w:rFonts w:ascii="Arial" w:hAnsi="Arial" w:cs="Arial"/>
          <w:color w:val="000000" w:themeColor="text1"/>
        </w:rPr>
        <w:t>związane z dostosowaniem do standardów usługi i obiektu</w:t>
      </w:r>
      <w:r w:rsidR="002D49B4" w:rsidRPr="00327458">
        <w:rPr>
          <w:rStyle w:val="Odwoanieprzypisudolnego"/>
          <w:rFonts w:ascii="Arial" w:hAnsi="Arial" w:cs="Arial"/>
          <w:color w:val="000000" w:themeColor="text1"/>
        </w:rPr>
        <w:footnoteReference w:id="67"/>
      </w:r>
      <w:r w:rsidR="00740B74" w:rsidRPr="00327458">
        <w:rPr>
          <w:rFonts w:ascii="Arial" w:hAnsi="Arial" w:cs="Arial"/>
          <w:color w:val="000000" w:themeColor="text1"/>
        </w:rPr>
        <w:t>. W 2021 r. w</w:t>
      </w:r>
      <w:r w:rsidR="00D47D6D" w:rsidRPr="00327458">
        <w:rPr>
          <w:rFonts w:ascii="Arial" w:hAnsi="Arial" w:cs="Arial"/>
          <w:color w:val="000000" w:themeColor="text1"/>
        </w:rPr>
        <w:t> </w:t>
      </w:r>
      <w:r w:rsidR="00740B74" w:rsidRPr="00327458">
        <w:rPr>
          <w:rFonts w:ascii="Arial" w:hAnsi="Arial" w:cs="Arial"/>
          <w:color w:val="000000" w:themeColor="text1"/>
        </w:rPr>
        <w:t>porównaniu z 2020 r. liczba takich placówek zmniejszyła się o</w:t>
      </w:r>
      <w:r w:rsidR="00E51F38" w:rsidRPr="00327458">
        <w:rPr>
          <w:rFonts w:ascii="Arial" w:hAnsi="Arial" w:cs="Arial"/>
          <w:color w:val="000000" w:themeColor="text1"/>
        </w:rPr>
        <w:t> </w:t>
      </w:r>
      <w:r w:rsidR="00740B74" w:rsidRPr="00327458">
        <w:rPr>
          <w:rFonts w:ascii="Arial" w:hAnsi="Arial" w:cs="Arial"/>
          <w:color w:val="000000" w:themeColor="text1"/>
        </w:rPr>
        <w:t>9,1% przy jednoczesnym wzroście liczby miejsc ogółem (</w:t>
      </w:r>
      <w:r w:rsidR="00834DD4" w:rsidRPr="00327458">
        <w:rPr>
          <w:rFonts w:ascii="Arial" w:hAnsi="Arial" w:cs="Arial"/>
          <w:color w:val="000000" w:themeColor="text1"/>
        </w:rPr>
        <w:t>o 3,4%</w:t>
      </w:r>
      <w:r w:rsidR="00740B74" w:rsidRPr="00327458">
        <w:rPr>
          <w:rFonts w:ascii="Arial" w:hAnsi="Arial" w:cs="Arial"/>
          <w:color w:val="000000" w:themeColor="text1"/>
        </w:rPr>
        <w:t>)</w:t>
      </w:r>
      <w:r w:rsidR="00834DD4" w:rsidRPr="00327458">
        <w:rPr>
          <w:rFonts w:ascii="Arial" w:hAnsi="Arial" w:cs="Arial"/>
          <w:color w:val="000000" w:themeColor="text1"/>
        </w:rPr>
        <w:t>.</w:t>
      </w:r>
      <w:r w:rsidR="00365C11" w:rsidRPr="00327458">
        <w:rPr>
          <w:rFonts w:ascii="Arial" w:hAnsi="Arial" w:cs="Arial"/>
          <w:color w:val="000000" w:themeColor="text1"/>
        </w:rPr>
        <w:t xml:space="preserve"> Z perspektywy rozwoju i deinstytucjonalizacji usług </w:t>
      </w:r>
      <w:r w:rsidR="00365C11" w:rsidRPr="00327458">
        <w:rPr>
          <w:rFonts w:ascii="Arial" w:hAnsi="Arial" w:cs="Arial"/>
          <w:color w:val="000000" w:themeColor="text1"/>
        </w:rPr>
        <w:lastRenderedPageBreak/>
        <w:t>społecznych i zdrowotnych świadczonych na poziomie lokalnym, istotny jest fakt, że</w:t>
      </w:r>
      <w:r w:rsidR="00AE5484" w:rsidRPr="00327458">
        <w:rPr>
          <w:rFonts w:ascii="Arial" w:hAnsi="Arial" w:cs="Arial"/>
          <w:color w:val="000000" w:themeColor="text1"/>
        </w:rPr>
        <w:t> </w:t>
      </w:r>
      <w:r w:rsidR="00365C11" w:rsidRPr="00327458">
        <w:rPr>
          <w:rFonts w:ascii="Arial" w:hAnsi="Arial" w:cs="Arial"/>
          <w:color w:val="000000" w:themeColor="text1"/>
        </w:rPr>
        <w:t>w</w:t>
      </w:r>
      <w:r w:rsidR="00AE5484" w:rsidRPr="00327458">
        <w:rPr>
          <w:rFonts w:ascii="Arial" w:hAnsi="Arial" w:cs="Arial"/>
          <w:color w:val="000000" w:themeColor="text1"/>
        </w:rPr>
        <w:t> </w:t>
      </w:r>
      <w:r w:rsidR="00365C11" w:rsidRPr="00327458">
        <w:rPr>
          <w:rFonts w:ascii="Arial" w:hAnsi="Arial" w:cs="Arial"/>
          <w:color w:val="000000" w:themeColor="text1"/>
        </w:rPr>
        <w:t>województwie pomorskim placówki udzielające schronienia osobom w kryzysie bezdomności w 2021 r. funkcjonowały na terenie 23 gmin, koncentrujących się w</w:t>
      </w:r>
      <w:r w:rsidR="00AE5484" w:rsidRPr="00327458">
        <w:rPr>
          <w:rFonts w:ascii="Arial" w:hAnsi="Arial" w:cs="Arial"/>
          <w:color w:val="000000" w:themeColor="text1"/>
        </w:rPr>
        <w:t> </w:t>
      </w:r>
      <w:r w:rsidR="00365C11" w:rsidRPr="00327458">
        <w:rPr>
          <w:rFonts w:ascii="Arial" w:hAnsi="Arial" w:cs="Arial"/>
          <w:color w:val="000000" w:themeColor="text1"/>
        </w:rPr>
        <w:t>aglomeracjach miejskich oraz w obszarach doń przylegających</w:t>
      </w:r>
      <w:r w:rsidR="00572735" w:rsidRPr="00327458">
        <w:rPr>
          <w:rFonts w:ascii="Arial" w:hAnsi="Arial" w:cs="Arial"/>
          <w:color w:val="000000" w:themeColor="text1"/>
        </w:rPr>
        <w:t xml:space="preserve"> </w:t>
      </w:r>
      <w:r w:rsidR="00365C11" w:rsidRPr="00327458">
        <w:rPr>
          <w:rFonts w:ascii="Arial" w:hAnsi="Arial" w:cs="Arial"/>
          <w:color w:val="000000" w:themeColor="text1"/>
        </w:rPr>
        <w:t>(Gdańsk, Gdynia, Kartuzy, Słupsk)</w:t>
      </w:r>
      <w:r w:rsidR="00572735" w:rsidRPr="00327458">
        <w:rPr>
          <w:rStyle w:val="Odwoanieprzypisudolnego"/>
          <w:rFonts w:ascii="Arial" w:hAnsi="Arial" w:cs="Arial"/>
          <w:color w:val="000000" w:themeColor="text1"/>
        </w:rPr>
        <w:footnoteReference w:id="68"/>
      </w:r>
      <w:r w:rsidR="00365C11" w:rsidRPr="00327458">
        <w:rPr>
          <w:rFonts w:ascii="Arial" w:hAnsi="Arial" w:cs="Arial"/>
          <w:color w:val="000000" w:themeColor="text1"/>
        </w:rPr>
        <w:t>.</w:t>
      </w:r>
    </w:p>
    <w:p w:rsidR="000B3FFB" w:rsidRPr="00327458" w:rsidRDefault="00834DD4" w:rsidP="00F124EE">
      <w:pPr>
        <w:spacing w:after="0" w:line="360" w:lineRule="auto"/>
        <w:ind w:firstLine="708"/>
        <w:rPr>
          <w:rFonts w:ascii="Arial" w:hAnsi="Arial" w:cs="Arial"/>
          <w:color w:val="000000" w:themeColor="text1"/>
        </w:rPr>
      </w:pPr>
      <w:r w:rsidRPr="00327458">
        <w:rPr>
          <w:rFonts w:ascii="Arial" w:hAnsi="Arial" w:cs="Arial"/>
          <w:color w:val="000000" w:themeColor="text1"/>
        </w:rPr>
        <w:t>Biorąc pod uwagę typ</w:t>
      </w:r>
      <w:r w:rsidR="00CD75C5">
        <w:rPr>
          <w:rFonts w:ascii="Arial" w:hAnsi="Arial" w:cs="Arial"/>
          <w:color w:val="000000" w:themeColor="text1"/>
        </w:rPr>
        <w:t>y</w:t>
      </w:r>
      <w:r w:rsidRPr="00327458">
        <w:rPr>
          <w:rFonts w:ascii="Arial" w:hAnsi="Arial" w:cs="Arial"/>
          <w:color w:val="000000" w:themeColor="text1"/>
        </w:rPr>
        <w:t xml:space="preserve"> placówek oferujących wsparcie osób w kryzysie bezdomności, w omawianym okresie najbardziej wzrosła liczba </w:t>
      </w:r>
      <w:r w:rsidR="007C1891" w:rsidRPr="00327458">
        <w:rPr>
          <w:rFonts w:ascii="Arial" w:hAnsi="Arial" w:cs="Arial"/>
          <w:color w:val="000000" w:themeColor="text1"/>
        </w:rPr>
        <w:t>schronisk z</w:t>
      </w:r>
      <w:r w:rsidR="008616CE" w:rsidRPr="00327458">
        <w:rPr>
          <w:rFonts w:ascii="Arial" w:hAnsi="Arial" w:cs="Arial"/>
          <w:color w:val="000000" w:themeColor="text1"/>
        </w:rPr>
        <w:t xml:space="preserve"> usługami opiekuńczymi (o</w:t>
      </w:r>
      <w:r w:rsidR="00AE5484" w:rsidRPr="00327458">
        <w:rPr>
          <w:rFonts w:ascii="Arial" w:hAnsi="Arial" w:cs="Arial"/>
          <w:color w:val="000000" w:themeColor="text1"/>
        </w:rPr>
        <w:t> </w:t>
      </w:r>
      <w:r w:rsidR="008616CE" w:rsidRPr="00327458">
        <w:rPr>
          <w:rFonts w:ascii="Arial" w:hAnsi="Arial" w:cs="Arial"/>
          <w:color w:val="000000" w:themeColor="text1"/>
        </w:rPr>
        <w:t>30,0%) oraz dostępnych w</w:t>
      </w:r>
      <w:r w:rsidR="00E51F38" w:rsidRPr="00327458">
        <w:rPr>
          <w:rFonts w:ascii="Arial" w:hAnsi="Arial" w:cs="Arial"/>
          <w:color w:val="000000" w:themeColor="text1"/>
        </w:rPr>
        <w:t> </w:t>
      </w:r>
      <w:r w:rsidR="008616CE" w:rsidRPr="00327458">
        <w:rPr>
          <w:rFonts w:ascii="Arial" w:hAnsi="Arial" w:cs="Arial"/>
          <w:color w:val="000000" w:themeColor="text1"/>
        </w:rPr>
        <w:t>nich miejsc (30,2%).</w:t>
      </w:r>
      <w:r w:rsidR="001F31DD" w:rsidRPr="00327458">
        <w:rPr>
          <w:rFonts w:ascii="Arial" w:hAnsi="Arial" w:cs="Arial"/>
          <w:color w:val="000000" w:themeColor="text1"/>
        </w:rPr>
        <w:t xml:space="preserve"> Największy spadek liczby placówek dotyczył schronisk (25,0%), a</w:t>
      </w:r>
      <w:r w:rsidR="00E51F38" w:rsidRPr="00327458">
        <w:rPr>
          <w:rFonts w:ascii="Arial" w:hAnsi="Arial" w:cs="Arial"/>
          <w:color w:val="000000" w:themeColor="text1"/>
        </w:rPr>
        <w:t> </w:t>
      </w:r>
      <w:r w:rsidR="001F31DD" w:rsidRPr="00327458">
        <w:rPr>
          <w:rFonts w:ascii="Arial" w:hAnsi="Arial" w:cs="Arial"/>
          <w:color w:val="000000" w:themeColor="text1"/>
        </w:rPr>
        <w:t>ubytek miejsc w noclegowniach (19,2%)</w:t>
      </w:r>
      <w:r w:rsidR="00416870" w:rsidRPr="00327458">
        <w:rPr>
          <w:rStyle w:val="Odwoanieprzypisudolnego"/>
          <w:rFonts w:ascii="Arial" w:hAnsi="Arial" w:cs="Arial"/>
          <w:color w:val="000000" w:themeColor="text1"/>
        </w:rPr>
        <w:footnoteReference w:id="69"/>
      </w:r>
      <w:r w:rsidR="000B3FFB" w:rsidRPr="00327458">
        <w:rPr>
          <w:rFonts w:ascii="Arial" w:hAnsi="Arial" w:cs="Arial"/>
          <w:color w:val="000000" w:themeColor="text1"/>
        </w:rPr>
        <w:t>.</w:t>
      </w:r>
      <w:r w:rsidR="00C9327F" w:rsidRPr="00327458">
        <w:rPr>
          <w:rFonts w:ascii="Arial" w:hAnsi="Arial" w:cs="Arial"/>
          <w:color w:val="000000" w:themeColor="text1"/>
        </w:rPr>
        <w:t xml:space="preserve"> Ponadto, </w:t>
      </w:r>
      <w:r w:rsidR="00D0526C" w:rsidRPr="00327458">
        <w:rPr>
          <w:rFonts w:ascii="Arial" w:hAnsi="Arial" w:cs="Arial"/>
          <w:color w:val="000000" w:themeColor="text1"/>
        </w:rPr>
        <w:t>w</w:t>
      </w:r>
      <w:r w:rsidR="00AE5484" w:rsidRPr="00327458">
        <w:rPr>
          <w:rFonts w:ascii="Arial" w:hAnsi="Arial" w:cs="Arial"/>
          <w:color w:val="000000" w:themeColor="text1"/>
        </w:rPr>
        <w:t> </w:t>
      </w:r>
      <w:r w:rsidR="00D0526C" w:rsidRPr="00327458">
        <w:rPr>
          <w:rFonts w:ascii="Arial" w:hAnsi="Arial" w:cs="Arial"/>
          <w:color w:val="000000" w:themeColor="text1"/>
        </w:rPr>
        <w:t>Pomorskiem</w:t>
      </w:r>
      <w:r w:rsidR="00C9327F" w:rsidRPr="00327458">
        <w:rPr>
          <w:rFonts w:ascii="Arial" w:hAnsi="Arial" w:cs="Arial"/>
          <w:color w:val="000000" w:themeColor="text1"/>
        </w:rPr>
        <w:t xml:space="preserve"> średniorocznie 85% miejsc w schroniskach</w:t>
      </w:r>
      <w:r w:rsidR="00D0526C" w:rsidRPr="00327458">
        <w:rPr>
          <w:rFonts w:ascii="Arial" w:hAnsi="Arial" w:cs="Arial"/>
          <w:color w:val="000000" w:themeColor="text1"/>
        </w:rPr>
        <w:t xml:space="preserve"> dla osób bezdomnych</w:t>
      </w:r>
      <w:r w:rsidR="00C9327F" w:rsidRPr="00327458">
        <w:rPr>
          <w:rFonts w:ascii="Arial" w:hAnsi="Arial" w:cs="Arial"/>
          <w:color w:val="000000" w:themeColor="text1"/>
        </w:rPr>
        <w:t xml:space="preserve"> z usługami opiekuńczymi jest zajętych</w:t>
      </w:r>
      <w:r w:rsidR="00D0526C" w:rsidRPr="00327458">
        <w:rPr>
          <w:rStyle w:val="Odwoanieprzypisudolnego"/>
          <w:rFonts w:ascii="Arial" w:hAnsi="Arial" w:cs="Arial"/>
          <w:color w:val="000000" w:themeColor="text1"/>
        </w:rPr>
        <w:footnoteReference w:id="70"/>
      </w:r>
      <w:r w:rsidR="00C9327F" w:rsidRPr="00327458">
        <w:rPr>
          <w:rFonts w:ascii="Arial" w:hAnsi="Arial" w:cs="Arial"/>
          <w:color w:val="000000" w:themeColor="text1"/>
        </w:rPr>
        <w:t>.</w:t>
      </w:r>
      <w:r w:rsidR="00C436AC" w:rsidRPr="00327458">
        <w:rPr>
          <w:rFonts w:ascii="Arial" w:hAnsi="Arial" w:cs="Arial"/>
          <w:color w:val="000000" w:themeColor="text1"/>
        </w:rPr>
        <w:t xml:space="preserve"> Osoby w kryzysie bezdomności po pobycie w wymienionych miejsc</w:t>
      </w:r>
      <w:r w:rsidR="00382853" w:rsidRPr="00327458">
        <w:rPr>
          <w:rFonts w:ascii="Arial" w:hAnsi="Arial" w:cs="Arial"/>
          <w:color w:val="000000" w:themeColor="text1"/>
        </w:rPr>
        <w:t>ach</w:t>
      </w:r>
      <w:r w:rsidR="00C436AC" w:rsidRPr="00327458">
        <w:rPr>
          <w:rFonts w:ascii="Arial" w:hAnsi="Arial" w:cs="Arial"/>
          <w:color w:val="000000" w:themeColor="text1"/>
        </w:rPr>
        <w:t>, najczęściej trafiają do DPS</w:t>
      </w:r>
      <w:r w:rsidR="00E83D0B" w:rsidRPr="00327458">
        <w:rPr>
          <w:rFonts w:ascii="Arial" w:hAnsi="Arial" w:cs="Arial"/>
          <w:color w:val="000000" w:themeColor="text1"/>
        </w:rPr>
        <w:t xml:space="preserve"> – potwierdzają to kadry </w:t>
      </w:r>
      <w:r w:rsidR="006052EE" w:rsidRPr="00327458">
        <w:rPr>
          <w:rFonts w:ascii="Arial" w:hAnsi="Arial" w:cs="Arial"/>
          <w:color w:val="000000" w:themeColor="text1"/>
        </w:rPr>
        <w:t>wspomnianych placówek</w:t>
      </w:r>
      <w:r w:rsidR="00C436AC" w:rsidRPr="00327458">
        <w:rPr>
          <w:rStyle w:val="Odwoanieprzypisudolnego"/>
          <w:rFonts w:ascii="Arial" w:hAnsi="Arial" w:cs="Arial"/>
          <w:color w:val="000000" w:themeColor="text1"/>
        </w:rPr>
        <w:footnoteReference w:id="71"/>
      </w:r>
      <w:r w:rsidR="006052EE" w:rsidRPr="00327458">
        <w:rPr>
          <w:rFonts w:ascii="Arial" w:hAnsi="Arial" w:cs="Arial"/>
          <w:color w:val="000000" w:themeColor="text1"/>
        </w:rPr>
        <w:t>.</w:t>
      </w:r>
    </w:p>
    <w:p w:rsidR="00FA22B8" w:rsidRPr="00327458" w:rsidRDefault="00900386" w:rsidP="00FA22B8">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Istotnym elementem wsparcia dedykowanego osobom w kryzysie bezdomności jest </w:t>
      </w:r>
      <w:r w:rsidR="00E3340A" w:rsidRPr="00327458">
        <w:rPr>
          <w:rFonts w:ascii="Arial" w:hAnsi="Arial" w:cs="Arial"/>
          <w:color w:val="000000" w:themeColor="text1"/>
        </w:rPr>
        <w:t>realizacja modelu Najpierw Mieszkanie (</w:t>
      </w:r>
      <w:r w:rsidR="00E3340A" w:rsidRPr="00327458">
        <w:rPr>
          <w:rFonts w:ascii="Arial" w:hAnsi="Arial" w:cs="Arial"/>
          <w:i/>
          <w:color w:val="000000" w:themeColor="text1"/>
        </w:rPr>
        <w:t>Housing first</w:t>
      </w:r>
      <w:r w:rsidR="00E3340A" w:rsidRPr="00327458">
        <w:rPr>
          <w:rFonts w:ascii="Arial" w:hAnsi="Arial" w:cs="Arial"/>
          <w:color w:val="000000" w:themeColor="text1"/>
        </w:rPr>
        <w:t>) łączącego dostęp do indywidualnych mieszkań, zintegrowanych ze wspólnotą, specjalistycznym, indywidualnym i ciągłym wsparciem</w:t>
      </w:r>
      <w:r w:rsidR="00AF5DB8" w:rsidRPr="00327458">
        <w:rPr>
          <w:rStyle w:val="Odwoanieprzypisudolnego"/>
          <w:rFonts w:ascii="Arial" w:hAnsi="Arial" w:cs="Arial"/>
          <w:color w:val="000000" w:themeColor="text1"/>
        </w:rPr>
        <w:footnoteReference w:id="72"/>
      </w:r>
      <w:r w:rsidR="00E3340A" w:rsidRPr="00327458">
        <w:rPr>
          <w:rFonts w:ascii="Arial" w:hAnsi="Arial" w:cs="Arial"/>
          <w:color w:val="000000" w:themeColor="text1"/>
        </w:rPr>
        <w:t>.</w:t>
      </w:r>
      <w:r w:rsidR="00822283" w:rsidRPr="00327458">
        <w:rPr>
          <w:rFonts w:ascii="Arial" w:hAnsi="Arial" w:cs="Arial"/>
          <w:color w:val="000000" w:themeColor="text1"/>
        </w:rPr>
        <w:t xml:space="preserve"> Wsparcie w ramach tej metody pozwala na stopniową realizację potrzeb – od</w:t>
      </w:r>
      <w:r w:rsidR="00832052" w:rsidRPr="00327458">
        <w:rPr>
          <w:rFonts w:ascii="Arial" w:hAnsi="Arial" w:cs="Arial"/>
          <w:color w:val="000000" w:themeColor="text1"/>
        </w:rPr>
        <w:t> </w:t>
      </w:r>
      <w:r w:rsidR="00822283" w:rsidRPr="00327458">
        <w:rPr>
          <w:rFonts w:ascii="Arial" w:hAnsi="Arial" w:cs="Arial"/>
          <w:color w:val="000000" w:themeColor="text1"/>
        </w:rPr>
        <w:t xml:space="preserve">stabilności mieszkaniowej przez podejmowanie leczenia </w:t>
      </w:r>
      <w:r w:rsidR="00D86396" w:rsidRPr="00327458">
        <w:rPr>
          <w:rFonts w:ascii="Arial" w:hAnsi="Arial" w:cs="Arial"/>
          <w:color w:val="000000" w:themeColor="text1"/>
        </w:rPr>
        <w:t>i poprawę sytuacji zdrowotnej do</w:t>
      </w:r>
      <w:r w:rsidR="00832052" w:rsidRPr="00327458">
        <w:rPr>
          <w:rFonts w:ascii="Arial" w:hAnsi="Arial" w:cs="Arial"/>
          <w:color w:val="000000" w:themeColor="text1"/>
        </w:rPr>
        <w:t> </w:t>
      </w:r>
      <w:r w:rsidR="00D86396" w:rsidRPr="00327458">
        <w:rPr>
          <w:rFonts w:ascii="Arial" w:hAnsi="Arial" w:cs="Arial"/>
          <w:color w:val="000000" w:themeColor="text1"/>
        </w:rPr>
        <w:t>integracji społecznej i ekonomicznej.</w:t>
      </w:r>
      <w:r w:rsidR="00D85232" w:rsidRPr="00327458">
        <w:rPr>
          <w:rFonts w:ascii="Arial" w:hAnsi="Arial" w:cs="Arial"/>
          <w:color w:val="000000" w:themeColor="text1"/>
        </w:rPr>
        <w:t xml:space="preserve"> Wyniki testowego rozwiązania Projektu „Housing First – Najpierw Mieszkanie” </w:t>
      </w:r>
      <w:r w:rsidR="00A37583" w:rsidRPr="00327458">
        <w:rPr>
          <w:rFonts w:ascii="Arial" w:hAnsi="Arial" w:cs="Arial"/>
          <w:color w:val="000000" w:themeColor="text1"/>
        </w:rPr>
        <w:t>przeprowadzonego w Gdańsku, Wrocławiu oraz Warszawie (po</w:t>
      </w:r>
      <w:r w:rsidR="00832052" w:rsidRPr="00327458">
        <w:rPr>
          <w:rFonts w:ascii="Arial" w:hAnsi="Arial" w:cs="Arial"/>
          <w:color w:val="000000" w:themeColor="text1"/>
        </w:rPr>
        <w:t> </w:t>
      </w:r>
      <w:r w:rsidR="00A37583" w:rsidRPr="00327458">
        <w:rPr>
          <w:rFonts w:ascii="Arial" w:hAnsi="Arial" w:cs="Arial"/>
          <w:color w:val="000000" w:themeColor="text1"/>
        </w:rPr>
        <w:t xml:space="preserve">10 mieszkań rozproszonych) </w:t>
      </w:r>
      <w:r w:rsidR="00FB42A1" w:rsidRPr="00327458">
        <w:rPr>
          <w:rFonts w:ascii="Arial" w:hAnsi="Arial" w:cs="Arial"/>
          <w:color w:val="000000" w:themeColor="text1"/>
        </w:rPr>
        <w:t>pokazują wysoką skuteczność jego stosowania – 81% uczestników utrzymuje się w mieszkaniu po średnio około 12 miesiącach uczestnictwa w</w:t>
      </w:r>
      <w:r w:rsidR="00832052" w:rsidRPr="00327458">
        <w:rPr>
          <w:rFonts w:ascii="Arial" w:hAnsi="Arial" w:cs="Arial"/>
          <w:color w:val="000000" w:themeColor="text1"/>
        </w:rPr>
        <w:t> </w:t>
      </w:r>
      <w:r w:rsidR="00FB42A1" w:rsidRPr="00327458">
        <w:rPr>
          <w:rFonts w:ascii="Arial" w:hAnsi="Arial" w:cs="Arial"/>
          <w:color w:val="000000" w:themeColor="text1"/>
        </w:rPr>
        <w:t>programie,</w:t>
      </w:r>
      <w:r w:rsidR="009C5B1F" w:rsidRPr="00327458">
        <w:rPr>
          <w:rFonts w:ascii="Arial" w:hAnsi="Arial" w:cs="Arial"/>
          <w:color w:val="000000" w:themeColor="text1"/>
        </w:rPr>
        <w:t xml:space="preserve"> wzrasta poczucie bezpieczeństwa finansowego</w:t>
      </w:r>
      <w:r w:rsidR="0031090F" w:rsidRPr="00327458">
        <w:rPr>
          <w:rFonts w:ascii="Arial" w:hAnsi="Arial" w:cs="Arial"/>
          <w:color w:val="000000" w:themeColor="text1"/>
        </w:rPr>
        <w:t>, zabezpieczenia podstawowych potrzeb oraz zadomowienia</w:t>
      </w:r>
      <w:r w:rsidR="00AA3684" w:rsidRPr="00327458">
        <w:rPr>
          <w:rFonts w:ascii="Arial" w:hAnsi="Arial" w:cs="Arial"/>
          <w:color w:val="000000" w:themeColor="text1"/>
        </w:rPr>
        <w:t xml:space="preserve">. Zmiany w obszarze integracji społecznej, zawodowej i wsparcia są jednak niewielkie – wpływa na to m.in. występowanie wielu problemów jednocześnie, stosunkowo krótki okres oddziaływania projektu, a także pandemia COVID-19, której </w:t>
      </w:r>
      <w:r w:rsidR="003A3B2E" w:rsidRPr="00327458">
        <w:rPr>
          <w:rFonts w:ascii="Arial" w:hAnsi="Arial" w:cs="Arial"/>
          <w:color w:val="000000" w:themeColor="text1"/>
        </w:rPr>
        <w:t>czas</w:t>
      </w:r>
      <w:r w:rsidR="00AA3684" w:rsidRPr="00327458">
        <w:rPr>
          <w:rFonts w:ascii="Arial" w:hAnsi="Arial" w:cs="Arial"/>
          <w:color w:val="000000" w:themeColor="text1"/>
        </w:rPr>
        <w:t xml:space="preserve"> pokrył się z </w:t>
      </w:r>
      <w:r w:rsidR="003A3B2E" w:rsidRPr="00327458">
        <w:rPr>
          <w:rFonts w:ascii="Arial" w:hAnsi="Arial" w:cs="Arial"/>
          <w:color w:val="000000" w:themeColor="text1"/>
        </w:rPr>
        <w:t>okresem</w:t>
      </w:r>
      <w:r w:rsidR="00AA3684" w:rsidRPr="00327458">
        <w:rPr>
          <w:rFonts w:ascii="Arial" w:hAnsi="Arial" w:cs="Arial"/>
          <w:color w:val="000000" w:themeColor="text1"/>
        </w:rPr>
        <w:t xml:space="preserve"> realizacji badania efektów testowanego rozwiązania</w:t>
      </w:r>
      <w:r w:rsidR="00AA3684" w:rsidRPr="00327458">
        <w:rPr>
          <w:rStyle w:val="Odwoanieprzypisudolnego"/>
          <w:rFonts w:ascii="Arial" w:hAnsi="Arial" w:cs="Arial"/>
          <w:color w:val="000000" w:themeColor="text1"/>
        </w:rPr>
        <w:footnoteReference w:id="73"/>
      </w:r>
      <w:r w:rsidR="00AA3684" w:rsidRPr="00327458">
        <w:rPr>
          <w:rFonts w:ascii="Arial" w:hAnsi="Arial" w:cs="Arial"/>
          <w:color w:val="000000" w:themeColor="text1"/>
        </w:rPr>
        <w:t>.</w:t>
      </w:r>
    </w:p>
    <w:p w:rsidR="00FA22B8" w:rsidRPr="00327458" w:rsidRDefault="00E1059B" w:rsidP="00FA22B8">
      <w:pPr>
        <w:spacing w:after="0" w:line="360" w:lineRule="auto"/>
        <w:ind w:firstLine="708"/>
        <w:rPr>
          <w:rFonts w:ascii="Arial" w:hAnsi="Arial" w:cs="Arial"/>
          <w:color w:val="000000" w:themeColor="text1"/>
        </w:rPr>
      </w:pPr>
      <w:r w:rsidRPr="00327458">
        <w:rPr>
          <w:rFonts w:ascii="Arial" w:hAnsi="Arial" w:cs="Arial"/>
          <w:color w:val="000000" w:themeColor="text1"/>
        </w:rPr>
        <w:lastRenderedPageBreak/>
        <w:t xml:space="preserve">Wśród przyczyn bezdomności wskazuje się między innymi uzależnienie </w:t>
      </w:r>
      <w:r w:rsidR="002D5DC0" w:rsidRPr="00327458">
        <w:rPr>
          <w:rFonts w:ascii="Arial" w:hAnsi="Arial" w:cs="Arial"/>
          <w:color w:val="000000" w:themeColor="text1"/>
        </w:rPr>
        <w:t xml:space="preserve">(własne lub osoby partnerskiej) </w:t>
      </w:r>
      <w:r w:rsidRPr="00327458">
        <w:rPr>
          <w:rFonts w:ascii="Arial" w:hAnsi="Arial" w:cs="Arial"/>
          <w:color w:val="000000" w:themeColor="text1"/>
        </w:rPr>
        <w:t>oraz występowanie przemocy domowej</w:t>
      </w:r>
      <w:r w:rsidRPr="00327458">
        <w:rPr>
          <w:rStyle w:val="Odwoanieprzypisudolnego"/>
          <w:rFonts w:ascii="Arial" w:hAnsi="Arial" w:cs="Arial"/>
          <w:color w:val="000000" w:themeColor="text1"/>
        </w:rPr>
        <w:footnoteReference w:id="74"/>
      </w:r>
      <w:r w:rsidRPr="00327458">
        <w:rPr>
          <w:rFonts w:ascii="Arial" w:hAnsi="Arial" w:cs="Arial"/>
          <w:color w:val="000000" w:themeColor="text1"/>
        </w:rPr>
        <w:t>.</w:t>
      </w:r>
      <w:r w:rsidR="002D5DC0" w:rsidRPr="00327458">
        <w:rPr>
          <w:rFonts w:ascii="Arial" w:hAnsi="Arial" w:cs="Arial"/>
          <w:color w:val="000000" w:themeColor="text1"/>
        </w:rPr>
        <w:t xml:space="preserve"> </w:t>
      </w:r>
      <w:r w:rsidR="00F82DF8" w:rsidRPr="00327458">
        <w:rPr>
          <w:rFonts w:ascii="Arial" w:hAnsi="Arial" w:cs="Arial"/>
          <w:color w:val="000000" w:themeColor="text1"/>
        </w:rPr>
        <w:t>Liczba świadczeń z pomocy społecznej przyznanych w 2021 r. z tytułu</w:t>
      </w:r>
      <w:r w:rsidR="00432F22" w:rsidRPr="00327458">
        <w:rPr>
          <w:rFonts w:ascii="Arial" w:hAnsi="Arial" w:cs="Arial"/>
          <w:color w:val="000000" w:themeColor="text1"/>
        </w:rPr>
        <w:t xml:space="preserve"> uzależnienia od alkoholu</w:t>
      </w:r>
      <w:r w:rsidR="00F82DF8" w:rsidRPr="00327458">
        <w:rPr>
          <w:rFonts w:ascii="Arial" w:hAnsi="Arial" w:cs="Arial"/>
          <w:color w:val="000000" w:themeColor="text1"/>
        </w:rPr>
        <w:t xml:space="preserve"> </w:t>
      </w:r>
      <w:r w:rsidR="00432F22" w:rsidRPr="00327458">
        <w:rPr>
          <w:rFonts w:ascii="Arial" w:hAnsi="Arial" w:cs="Arial"/>
          <w:color w:val="000000" w:themeColor="text1"/>
        </w:rPr>
        <w:t>wyniosła 4,8 tys. (-3,6% r/r)</w:t>
      </w:r>
      <w:r w:rsidR="00EC327A" w:rsidRPr="00327458">
        <w:rPr>
          <w:rFonts w:ascii="Arial" w:hAnsi="Arial" w:cs="Arial"/>
          <w:color w:val="000000" w:themeColor="text1"/>
        </w:rPr>
        <w:t>, zaś z powodu</w:t>
      </w:r>
      <w:r w:rsidR="00432F22" w:rsidRPr="00327458">
        <w:rPr>
          <w:rFonts w:ascii="Arial" w:hAnsi="Arial" w:cs="Arial"/>
          <w:color w:val="000000" w:themeColor="text1"/>
        </w:rPr>
        <w:t xml:space="preserve"> </w:t>
      </w:r>
      <w:r w:rsidR="00F82DF8" w:rsidRPr="00327458">
        <w:rPr>
          <w:rFonts w:ascii="Arial" w:hAnsi="Arial" w:cs="Arial"/>
          <w:color w:val="000000" w:themeColor="text1"/>
        </w:rPr>
        <w:t>przemocy w rodzinie</w:t>
      </w:r>
      <w:r w:rsidR="00EC327A" w:rsidRPr="00327458">
        <w:rPr>
          <w:rFonts w:ascii="Arial" w:hAnsi="Arial" w:cs="Arial"/>
          <w:color w:val="000000" w:themeColor="text1"/>
        </w:rPr>
        <w:t xml:space="preserve"> 0,7 tys. </w:t>
      </w:r>
      <w:r w:rsidR="00432F22" w:rsidRPr="00327458">
        <w:rPr>
          <w:rFonts w:ascii="Arial" w:hAnsi="Arial" w:cs="Arial"/>
          <w:color w:val="000000" w:themeColor="text1"/>
        </w:rPr>
        <w:t>(-14,5% r/r)</w:t>
      </w:r>
      <w:r w:rsidR="00EC327A" w:rsidRPr="00327458">
        <w:rPr>
          <w:rStyle w:val="Odwoanieprzypisudolnego"/>
          <w:rFonts w:ascii="Arial" w:hAnsi="Arial" w:cs="Arial"/>
          <w:color w:val="000000" w:themeColor="text1"/>
        </w:rPr>
        <w:footnoteReference w:id="75"/>
      </w:r>
      <w:r w:rsidR="00432F22" w:rsidRPr="00327458">
        <w:rPr>
          <w:rFonts w:ascii="Arial" w:hAnsi="Arial" w:cs="Arial"/>
          <w:color w:val="000000" w:themeColor="text1"/>
        </w:rPr>
        <w:t>.</w:t>
      </w:r>
      <w:r w:rsidR="00BD76BF" w:rsidRPr="00327458">
        <w:rPr>
          <w:rFonts w:ascii="Arial" w:hAnsi="Arial" w:cs="Arial"/>
          <w:color w:val="000000" w:themeColor="text1"/>
        </w:rPr>
        <w:t xml:space="preserve"> Osoby doświadczające przemocy mogą także korzystać ze wsparcia zapewnianego przez punkty i ośrodki interwencji kryzysowej oraz przez specjalistyczne ośrodki wsparcia dla ofiar przemocy w</w:t>
      </w:r>
      <w:r w:rsidR="00E51F38" w:rsidRPr="00327458">
        <w:rPr>
          <w:rFonts w:ascii="Arial" w:hAnsi="Arial" w:cs="Arial"/>
          <w:color w:val="000000" w:themeColor="text1"/>
        </w:rPr>
        <w:t> </w:t>
      </w:r>
      <w:r w:rsidR="00BD76BF" w:rsidRPr="00327458">
        <w:rPr>
          <w:rFonts w:ascii="Arial" w:hAnsi="Arial" w:cs="Arial"/>
          <w:color w:val="000000" w:themeColor="text1"/>
        </w:rPr>
        <w:t xml:space="preserve">rodzinie. </w:t>
      </w:r>
      <w:r w:rsidR="00087A97" w:rsidRPr="00327458">
        <w:rPr>
          <w:rFonts w:ascii="Arial" w:hAnsi="Arial" w:cs="Arial"/>
          <w:color w:val="000000" w:themeColor="text1"/>
        </w:rPr>
        <w:t>W przypadku miejsc świadczących interwencję kryzysową, w 2021 r. funkcjonowało ich 18 (+2 vs. 2020 r.), zaś liczba ośrodków specjalistycznych wyniosła 2 i nie zmieniła się</w:t>
      </w:r>
      <w:r w:rsidR="00B659F8" w:rsidRPr="00327458">
        <w:rPr>
          <w:rStyle w:val="Odwoanieprzypisudolnego"/>
          <w:rFonts w:ascii="Arial" w:hAnsi="Arial" w:cs="Arial"/>
          <w:color w:val="000000" w:themeColor="text1"/>
        </w:rPr>
        <w:footnoteReference w:id="76"/>
      </w:r>
      <w:r w:rsidR="00087A97" w:rsidRPr="00327458">
        <w:rPr>
          <w:rFonts w:ascii="Arial" w:hAnsi="Arial" w:cs="Arial"/>
          <w:color w:val="000000" w:themeColor="text1"/>
        </w:rPr>
        <w:t>.</w:t>
      </w:r>
    </w:p>
    <w:p w:rsidR="000A2298" w:rsidRPr="00327458" w:rsidRDefault="009D37B9" w:rsidP="00FA22B8">
      <w:pPr>
        <w:spacing w:after="0" w:line="360" w:lineRule="auto"/>
        <w:ind w:firstLine="708"/>
        <w:rPr>
          <w:rFonts w:ascii="Arial" w:hAnsi="Arial" w:cs="Arial"/>
          <w:color w:val="000000" w:themeColor="text1"/>
        </w:rPr>
      </w:pPr>
      <w:r w:rsidRPr="00327458">
        <w:rPr>
          <w:rFonts w:ascii="Arial" w:hAnsi="Arial" w:cs="Arial"/>
          <w:color w:val="000000" w:themeColor="text1"/>
        </w:rPr>
        <w:t>Przedstawiciele</w:t>
      </w:r>
      <w:r w:rsidR="00A2255E" w:rsidRPr="00327458">
        <w:rPr>
          <w:rFonts w:ascii="Arial" w:hAnsi="Arial" w:cs="Arial"/>
          <w:color w:val="000000" w:themeColor="text1"/>
        </w:rPr>
        <w:t>(ki)</w:t>
      </w:r>
      <w:r w:rsidRPr="00327458">
        <w:rPr>
          <w:rFonts w:ascii="Arial" w:hAnsi="Arial" w:cs="Arial"/>
          <w:color w:val="000000" w:themeColor="text1"/>
        </w:rPr>
        <w:t xml:space="preserve"> gmin pozytywnie ocenili dostępność wsparcia</w:t>
      </w:r>
      <w:r w:rsidR="00FD4A7E" w:rsidRPr="00327458">
        <w:rPr>
          <w:rFonts w:ascii="Arial" w:hAnsi="Arial" w:cs="Arial"/>
          <w:color w:val="000000" w:themeColor="text1"/>
        </w:rPr>
        <w:t xml:space="preserve"> oraz</w:t>
      </w:r>
      <w:r w:rsidR="00DA7F0D" w:rsidRPr="00327458">
        <w:rPr>
          <w:rFonts w:ascii="Arial" w:hAnsi="Arial" w:cs="Arial"/>
          <w:color w:val="000000" w:themeColor="text1"/>
        </w:rPr>
        <w:t xml:space="preserve"> infrastrukturę </w:t>
      </w:r>
      <w:r w:rsidRPr="00327458">
        <w:rPr>
          <w:rFonts w:ascii="Arial" w:hAnsi="Arial" w:cs="Arial"/>
          <w:color w:val="000000" w:themeColor="text1"/>
        </w:rPr>
        <w:t>instytucjonaln</w:t>
      </w:r>
      <w:r w:rsidR="00DA7F0D" w:rsidRPr="00327458">
        <w:rPr>
          <w:rFonts w:ascii="Arial" w:hAnsi="Arial" w:cs="Arial"/>
          <w:color w:val="000000" w:themeColor="text1"/>
        </w:rPr>
        <w:t xml:space="preserve">ą </w:t>
      </w:r>
      <w:r w:rsidR="00FD4A7E" w:rsidRPr="00327458">
        <w:rPr>
          <w:rFonts w:ascii="Arial" w:hAnsi="Arial" w:cs="Arial"/>
          <w:color w:val="000000" w:themeColor="text1"/>
        </w:rPr>
        <w:t>i</w:t>
      </w:r>
      <w:r w:rsidR="00DA7F0D" w:rsidRPr="00327458">
        <w:rPr>
          <w:rFonts w:ascii="Arial" w:hAnsi="Arial" w:cs="Arial"/>
          <w:color w:val="000000" w:themeColor="text1"/>
        </w:rPr>
        <w:t xml:space="preserve"> jej stan</w:t>
      </w:r>
      <w:r w:rsidRPr="00327458">
        <w:rPr>
          <w:rFonts w:ascii="Arial" w:hAnsi="Arial" w:cs="Arial"/>
          <w:color w:val="000000" w:themeColor="text1"/>
        </w:rPr>
        <w:t>, których odbiorcami są osoby w kryzysie bezdomności.</w:t>
      </w:r>
      <w:r w:rsidR="00382853" w:rsidRPr="00327458">
        <w:rPr>
          <w:rFonts w:ascii="Arial" w:hAnsi="Arial" w:cs="Arial"/>
          <w:color w:val="000000" w:themeColor="text1"/>
        </w:rPr>
        <w:t xml:space="preserve"> </w:t>
      </w:r>
      <w:r w:rsidR="00B470CB" w:rsidRPr="00327458">
        <w:rPr>
          <w:rFonts w:ascii="Arial" w:hAnsi="Arial" w:cs="Arial"/>
          <w:color w:val="000000" w:themeColor="text1"/>
        </w:rPr>
        <w:t>Problematyczna pozostaje jednak kwestia rozmieszczenia placówek wsparci</w:t>
      </w:r>
      <w:r w:rsidR="00757016" w:rsidRPr="00327458">
        <w:rPr>
          <w:rFonts w:ascii="Arial" w:hAnsi="Arial" w:cs="Arial"/>
          <w:color w:val="000000" w:themeColor="text1"/>
        </w:rPr>
        <w:t xml:space="preserve">a, które koncentrują się w dużych ośrodkach miejskich, co, w sytuacji niemożności uzyskania pomocy w środowisku lokalnym, </w:t>
      </w:r>
      <w:r w:rsidR="002B6243" w:rsidRPr="00327458">
        <w:rPr>
          <w:rFonts w:ascii="Arial" w:hAnsi="Arial" w:cs="Arial"/>
          <w:color w:val="000000" w:themeColor="text1"/>
        </w:rPr>
        <w:t xml:space="preserve">stanowi </w:t>
      </w:r>
      <w:r w:rsidR="00757016" w:rsidRPr="00327458">
        <w:rPr>
          <w:rFonts w:ascii="Arial" w:hAnsi="Arial" w:cs="Arial"/>
          <w:color w:val="000000" w:themeColor="text1"/>
        </w:rPr>
        <w:t>potencjalne ryzyko</w:t>
      </w:r>
      <w:r w:rsidR="002B6243" w:rsidRPr="00327458">
        <w:rPr>
          <w:rFonts w:ascii="Arial" w:hAnsi="Arial" w:cs="Arial"/>
          <w:color w:val="000000" w:themeColor="text1"/>
        </w:rPr>
        <w:t xml:space="preserve"> konieczności</w:t>
      </w:r>
      <w:r w:rsidR="00757016" w:rsidRPr="00327458">
        <w:rPr>
          <w:rFonts w:ascii="Arial" w:hAnsi="Arial" w:cs="Arial"/>
          <w:color w:val="000000" w:themeColor="text1"/>
        </w:rPr>
        <w:t xml:space="preserve"> przemieszczania się osób pozostających w kryzysie bezdomności</w:t>
      </w:r>
      <w:r w:rsidR="00B470CB" w:rsidRPr="00327458">
        <w:rPr>
          <w:rStyle w:val="Odwoanieprzypisudolnego"/>
          <w:rFonts w:ascii="Arial" w:hAnsi="Arial" w:cs="Arial"/>
          <w:color w:val="000000" w:themeColor="text1"/>
        </w:rPr>
        <w:footnoteReference w:id="77"/>
      </w:r>
      <w:r w:rsidR="00B470CB" w:rsidRPr="00327458">
        <w:rPr>
          <w:rFonts w:ascii="Arial" w:hAnsi="Arial" w:cs="Arial"/>
          <w:color w:val="000000" w:themeColor="text1"/>
        </w:rPr>
        <w:t>.</w:t>
      </w:r>
    </w:p>
    <w:p w:rsidR="00DF6EC8" w:rsidRPr="00327458" w:rsidRDefault="000A2298" w:rsidP="00DF6EC8">
      <w:pPr>
        <w:spacing w:after="0" w:line="360" w:lineRule="auto"/>
        <w:ind w:firstLine="708"/>
        <w:rPr>
          <w:rFonts w:ascii="Arial" w:hAnsi="Arial" w:cs="Arial"/>
          <w:color w:val="000000" w:themeColor="text1"/>
        </w:rPr>
      </w:pPr>
      <w:r w:rsidRPr="00327458">
        <w:rPr>
          <w:rFonts w:ascii="Arial" w:hAnsi="Arial" w:cs="Arial"/>
          <w:color w:val="000000" w:themeColor="text1"/>
        </w:rPr>
        <w:t>Istotnym problemem w obszarze wsparcia i pomocy świadczonych na rzecz osób w</w:t>
      </w:r>
      <w:r w:rsidR="00E8516D" w:rsidRPr="00327458">
        <w:rPr>
          <w:rFonts w:ascii="Arial" w:hAnsi="Arial" w:cs="Arial"/>
          <w:color w:val="000000" w:themeColor="text1"/>
        </w:rPr>
        <w:t> </w:t>
      </w:r>
      <w:r w:rsidRPr="00327458">
        <w:rPr>
          <w:rFonts w:ascii="Arial" w:hAnsi="Arial" w:cs="Arial"/>
          <w:color w:val="000000" w:themeColor="text1"/>
        </w:rPr>
        <w:t xml:space="preserve">kryzysie bezdomności jest niewystarczający poziom </w:t>
      </w:r>
      <w:r w:rsidR="00C53D80" w:rsidRPr="00327458">
        <w:rPr>
          <w:rFonts w:ascii="Arial" w:hAnsi="Arial" w:cs="Arial"/>
          <w:color w:val="000000" w:themeColor="text1"/>
        </w:rPr>
        <w:t xml:space="preserve">realizacji </w:t>
      </w:r>
      <w:r w:rsidRPr="00327458">
        <w:rPr>
          <w:rFonts w:ascii="Arial" w:hAnsi="Arial" w:cs="Arial"/>
          <w:color w:val="000000" w:themeColor="text1"/>
        </w:rPr>
        <w:t>streetworking</w:t>
      </w:r>
      <w:r w:rsidR="00C53D80" w:rsidRPr="00327458">
        <w:rPr>
          <w:rFonts w:ascii="Arial" w:hAnsi="Arial" w:cs="Arial"/>
          <w:color w:val="000000" w:themeColor="text1"/>
        </w:rPr>
        <w:t>u</w:t>
      </w:r>
      <w:r w:rsidR="00E4411D" w:rsidRPr="00327458">
        <w:rPr>
          <w:rFonts w:ascii="Arial" w:hAnsi="Arial" w:cs="Arial"/>
          <w:color w:val="000000" w:themeColor="text1"/>
        </w:rPr>
        <w:t xml:space="preserve">. Wyniki badań przeprowadzonych przez </w:t>
      </w:r>
      <w:r w:rsidR="00C53D80" w:rsidRPr="00327458">
        <w:rPr>
          <w:rFonts w:ascii="Arial" w:hAnsi="Arial" w:cs="Arial"/>
          <w:color w:val="000000" w:themeColor="text1"/>
        </w:rPr>
        <w:t>Ogólnopolską Federację na rzecz Rozwiązywania Problemu Bezdomności pokazują, że minimum 26,4% gmin w Polsce nie prowadzi i nie zleca usług streetworkingu</w:t>
      </w:r>
      <w:r w:rsidR="00C53D80" w:rsidRPr="00327458">
        <w:rPr>
          <w:rStyle w:val="Odwoanieprzypisudolnego"/>
          <w:rFonts w:ascii="Arial" w:hAnsi="Arial" w:cs="Arial"/>
          <w:color w:val="000000" w:themeColor="text1"/>
        </w:rPr>
        <w:footnoteReference w:id="78"/>
      </w:r>
      <w:r w:rsidR="00C53D80" w:rsidRPr="00327458">
        <w:rPr>
          <w:rFonts w:ascii="Arial" w:hAnsi="Arial" w:cs="Arial"/>
          <w:color w:val="000000" w:themeColor="text1"/>
        </w:rPr>
        <w:t>.</w:t>
      </w:r>
    </w:p>
    <w:p w:rsidR="00382853" w:rsidRPr="00327458" w:rsidRDefault="00382853" w:rsidP="00382853">
      <w:pPr>
        <w:pStyle w:val="Nagwek3"/>
        <w:spacing w:before="100" w:beforeAutospacing="1" w:after="100" w:afterAutospacing="1"/>
        <w:rPr>
          <w:rFonts w:cs="Arial"/>
          <w:color w:val="000000" w:themeColor="text1"/>
        </w:rPr>
      </w:pPr>
      <w:r w:rsidRPr="00327458">
        <w:rPr>
          <w:rFonts w:cs="Arial"/>
          <w:color w:val="000000" w:themeColor="text1"/>
        </w:rPr>
        <w:t>Wnioski</w:t>
      </w:r>
    </w:p>
    <w:p w:rsidR="005F4B70" w:rsidRPr="00327458" w:rsidRDefault="005F4B70" w:rsidP="00BD5917">
      <w:pPr>
        <w:spacing w:after="0" w:line="360" w:lineRule="auto"/>
        <w:rPr>
          <w:rFonts w:ascii="Arial" w:hAnsi="Arial" w:cs="Arial"/>
          <w:color w:val="000000" w:themeColor="text1"/>
        </w:rPr>
      </w:pPr>
      <w:r w:rsidRPr="00327458">
        <w:rPr>
          <w:rFonts w:ascii="Arial" w:hAnsi="Arial" w:cs="Arial"/>
          <w:color w:val="000000" w:themeColor="text1"/>
        </w:rPr>
        <w:t>Rozwój i deinstytucjonalizacja usług społecznych</w:t>
      </w:r>
      <w:r w:rsidR="00A436BB" w:rsidRPr="00327458">
        <w:rPr>
          <w:rFonts w:ascii="Arial" w:hAnsi="Arial" w:cs="Arial"/>
          <w:color w:val="000000" w:themeColor="text1"/>
        </w:rPr>
        <w:t xml:space="preserve"> i zdrowotnych</w:t>
      </w:r>
      <w:r w:rsidRPr="00327458">
        <w:rPr>
          <w:rFonts w:ascii="Arial" w:hAnsi="Arial" w:cs="Arial"/>
          <w:color w:val="000000" w:themeColor="text1"/>
        </w:rPr>
        <w:t xml:space="preserve"> skierowanych do</w:t>
      </w:r>
      <w:r w:rsidR="00832052" w:rsidRPr="00327458">
        <w:rPr>
          <w:rFonts w:ascii="Arial" w:hAnsi="Arial" w:cs="Arial"/>
          <w:color w:val="000000" w:themeColor="text1"/>
        </w:rPr>
        <w:t> </w:t>
      </w:r>
      <w:r w:rsidRPr="00327458">
        <w:rPr>
          <w:rFonts w:ascii="Arial" w:hAnsi="Arial" w:cs="Arial"/>
          <w:color w:val="000000" w:themeColor="text1"/>
        </w:rPr>
        <w:t>osób w</w:t>
      </w:r>
      <w:r w:rsidR="008C4045" w:rsidRPr="00327458">
        <w:rPr>
          <w:rFonts w:ascii="Arial" w:hAnsi="Arial" w:cs="Arial"/>
          <w:color w:val="000000" w:themeColor="text1"/>
        </w:rPr>
        <w:t> </w:t>
      </w:r>
      <w:r w:rsidRPr="00327458">
        <w:rPr>
          <w:rFonts w:ascii="Arial" w:hAnsi="Arial" w:cs="Arial"/>
          <w:color w:val="000000" w:themeColor="text1"/>
        </w:rPr>
        <w:t xml:space="preserve">kryzysie bezdomności wymaga upowszechnienia form </w:t>
      </w:r>
      <w:r w:rsidR="007919FC" w:rsidRPr="00327458">
        <w:rPr>
          <w:rFonts w:ascii="Arial" w:hAnsi="Arial" w:cs="Arial"/>
          <w:color w:val="000000" w:themeColor="text1"/>
        </w:rPr>
        <w:t>już realizowanych – m.in. streetworkingu</w:t>
      </w:r>
      <w:r w:rsidR="00E328D5" w:rsidRPr="00327458">
        <w:rPr>
          <w:rFonts w:ascii="Arial" w:hAnsi="Arial" w:cs="Arial"/>
          <w:color w:val="000000" w:themeColor="text1"/>
        </w:rPr>
        <w:t>, usług zdrowotnych oraz</w:t>
      </w:r>
      <w:r w:rsidR="007919FC" w:rsidRPr="00327458">
        <w:rPr>
          <w:rFonts w:ascii="Arial" w:hAnsi="Arial" w:cs="Arial"/>
          <w:color w:val="000000" w:themeColor="text1"/>
        </w:rPr>
        <w:t xml:space="preserve"> mieszkań chronionych (treningowych i </w:t>
      </w:r>
      <w:r w:rsidR="008C4045" w:rsidRPr="00327458">
        <w:rPr>
          <w:rFonts w:ascii="Arial" w:hAnsi="Arial" w:cs="Arial"/>
          <w:color w:val="000000" w:themeColor="text1"/>
        </w:rPr>
        <w:t>wspieranych</w:t>
      </w:r>
      <w:r w:rsidR="007919FC" w:rsidRPr="00327458">
        <w:rPr>
          <w:rFonts w:ascii="Arial" w:hAnsi="Arial" w:cs="Arial"/>
          <w:color w:val="000000" w:themeColor="text1"/>
        </w:rPr>
        <w:t>).</w:t>
      </w:r>
      <w:r w:rsidR="00FB4628" w:rsidRPr="00327458">
        <w:rPr>
          <w:rFonts w:ascii="Arial" w:hAnsi="Arial" w:cs="Arial"/>
          <w:color w:val="000000" w:themeColor="text1"/>
        </w:rPr>
        <w:t xml:space="preserve"> Usługi, o których mowa powinny cechować się dostępnością</w:t>
      </w:r>
      <w:r w:rsidR="006265A4" w:rsidRPr="00327458">
        <w:rPr>
          <w:rFonts w:ascii="Arial" w:hAnsi="Arial" w:cs="Arial"/>
          <w:color w:val="000000" w:themeColor="text1"/>
        </w:rPr>
        <w:t>, co oznacza</w:t>
      </w:r>
      <w:r w:rsidR="00FB4628" w:rsidRPr="00327458">
        <w:rPr>
          <w:rFonts w:ascii="Arial" w:hAnsi="Arial" w:cs="Arial"/>
          <w:color w:val="000000" w:themeColor="text1"/>
        </w:rPr>
        <w:t xml:space="preserve"> redukowani</w:t>
      </w:r>
      <w:r w:rsidR="006265A4" w:rsidRPr="00327458">
        <w:rPr>
          <w:rFonts w:ascii="Arial" w:hAnsi="Arial" w:cs="Arial"/>
          <w:color w:val="000000" w:themeColor="text1"/>
        </w:rPr>
        <w:t>e</w:t>
      </w:r>
      <w:r w:rsidR="00FB4628" w:rsidRPr="00327458">
        <w:rPr>
          <w:rFonts w:ascii="Arial" w:hAnsi="Arial" w:cs="Arial"/>
          <w:color w:val="000000" w:themeColor="text1"/>
        </w:rPr>
        <w:t xml:space="preserve"> „białych plam” na </w:t>
      </w:r>
      <w:r w:rsidR="00A863AC" w:rsidRPr="00327458">
        <w:rPr>
          <w:rFonts w:ascii="Arial" w:hAnsi="Arial" w:cs="Arial"/>
          <w:color w:val="000000" w:themeColor="text1"/>
        </w:rPr>
        <w:t>obszarze</w:t>
      </w:r>
      <w:r w:rsidR="00FB4628" w:rsidRPr="00327458">
        <w:rPr>
          <w:rFonts w:ascii="Arial" w:hAnsi="Arial" w:cs="Arial"/>
          <w:color w:val="000000" w:themeColor="text1"/>
        </w:rPr>
        <w:t xml:space="preserve"> </w:t>
      </w:r>
      <w:r w:rsidR="00A436BB" w:rsidRPr="00327458">
        <w:rPr>
          <w:rFonts w:ascii="Arial" w:hAnsi="Arial" w:cs="Arial"/>
          <w:color w:val="000000" w:themeColor="text1"/>
        </w:rPr>
        <w:t xml:space="preserve">całego </w:t>
      </w:r>
      <w:r w:rsidR="00FB4628" w:rsidRPr="00327458">
        <w:rPr>
          <w:rFonts w:ascii="Arial" w:hAnsi="Arial" w:cs="Arial"/>
          <w:color w:val="000000" w:themeColor="text1"/>
        </w:rPr>
        <w:t>województwa</w:t>
      </w:r>
      <w:r w:rsidR="00A863AC" w:rsidRPr="00327458">
        <w:rPr>
          <w:rFonts w:ascii="Arial" w:hAnsi="Arial" w:cs="Arial"/>
          <w:color w:val="000000" w:themeColor="text1"/>
        </w:rPr>
        <w:t>,</w:t>
      </w:r>
      <w:r w:rsidR="00FB4628" w:rsidRPr="00327458">
        <w:rPr>
          <w:rFonts w:ascii="Arial" w:hAnsi="Arial" w:cs="Arial"/>
          <w:color w:val="000000" w:themeColor="text1"/>
        </w:rPr>
        <w:t xml:space="preserve"> </w:t>
      </w:r>
      <w:r w:rsidR="00A436BB" w:rsidRPr="00327458">
        <w:rPr>
          <w:rFonts w:ascii="Arial" w:hAnsi="Arial" w:cs="Arial"/>
          <w:color w:val="000000" w:themeColor="text1"/>
        </w:rPr>
        <w:t>a to</w:t>
      </w:r>
      <w:r w:rsidR="00FB4628" w:rsidRPr="00327458">
        <w:rPr>
          <w:rFonts w:ascii="Arial" w:hAnsi="Arial" w:cs="Arial"/>
          <w:color w:val="000000" w:themeColor="text1"/>
        </w:rPr>
        <w:t xml:space="preserve"> wymaga ich rozwoju na</w:t>
      </w:r>
      <w:r w:rsidR="00832052" w:rsidRPr="00327458">
        <w:rPr>
          <w:rFonts w:ascii="Arial" w:hAnsi="Arial" w:cs="Arial"/>
          <w:color w:val="000000" w:themeColor="text1"/>
        </w:rPr>
        <w:t> </w:t>
      </w:r>
      <w:r w:rsidR="00FB4628" w:rsidRPr="00327458">
        <w:rPr>
          <w:rFonts w:ascii="Arial" w:hAnsi="Arial" w:cs="Arial"/>
          <w:color w:val="000000" w:themeColor="text1"/>
        </w:rPr>
        <w:t>poziomie społeczności lokalnej</w:t>
      </w:r>
      <w:r w:rsidR="00A436BB" w:rsidRPr="00327458">
        <w:rPr>
          <w:rFonts w:ascii="Arial" w:hAnsi="Arial" w:cs="Arial"/>
          <w:color w:val="000000" w:themeColor="text1"/>
        </w:rPr>
        <w:t>.</w:t>
      </w:r>
    </w:p>
    <w:p w:rsidR="00A436BB" w:rsidRPr="00327458" w:rsidRDefault="00A436BB" w:rsidP="00590A3A">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Ponadto usługi społeczne i zdrowotne powinny spełniać warunek indywidualności </w:t>
      </w:r>
      <w:r w:rsidR="00131E7A" w:rsidRPr="00327458">
        <w:rPr>
          <w:rFonts w:ascii="Arial" w:hAnsi="Arial" w:cs="Arial"/>
          <w:color w:val="000000" w:themeColor="text1"/>
        </w:rPr>
        <w:t xml:space="preserve">tzn. </w:t>
      </w:r>
      <w:r w:rsidRPr="00327458">
        <w:rPr>
          <w:rFonts w:ascii="Arial" w:hAnsi="Arial" w:cs="Arial"/>
          <w:color w:val="000000" w:themeColor="text1"/>
        </w:rPr>
        <w:t xml:space="preserve">odpowiadać na jednostkowe potrzeby </w:t>
      </w:r>
      <w:r w:rsidR="00A91725" w:rsidRPr="00327458">
        <w:rPr>
          <w:rFonts w:ascii="Arial" w:hAnsi="Arial" w:cs="Arial"/>
          <w:color w:val="000000" w:themeColor="text1"/>
        </w:rPr>
        <w:t xml:space="preserve">ich </w:t>
      </w:r>
      <w:r w:rsidRPr="00327458">
        <w:rPr>
          <w:rFonts w:ascii="Arial" w:hAnsi="Arial" w:cs="Arial"/>
          <w:color w:val="000000" w:themeColor="text1"/>
        </w:rPr>
        <w:t>odbiorców</w:t>
      </w:r>
      <w:r w:rsidR="00131E7A" w:rsidRPr="00327458">
        <w:rPr>
          <w:rFonts w:ascii="Arial" w:hAnsi="Arial" w:cs="Arial"/>
          <w:color w:val="000000" w:themeColor="text1"/>
        </w:rPr>
        <w:t xml:space="preserve">. Podstawą realizacji tego warunku </w:t>
      </w:r>
      <w:r w:rsidR="00131E7A" w:rsidRPr="00327458">
        <w:rPr>
          <w:rFonts w:ascii="Arial" w:hAnsi="Arial" w:cs="Arial"/>
          <w:color w:val="000000" w:themeColor="text1"/>
        </w:rPr>
        <w:lastRenderedPageBreak/>
        <w:t>jest</w:t>
      </w:r>
      <w:r w:rsidR="00832052" w:rsidRPr="00327458">
        <w:rPr>
          <w:rFonts w:ascii="Arial" w:hAnsi="Arial" w:cs="Arial"/>
          <w:color w:val="000000" w:themeColor="text1"/>
        </w:rPr>
        <w:t> </w:t>
      </w:r>
      <w:r w:rsidR="00131E7A" w:rsidRPr="00327458">
        <w:rPr>
          <w:rFonts w:ascii="Arial" w:hAnsi="Arial" w:cs="Arial"/>
          <w:color w:val="000000" w:themeColor="text1"/>
        </w:rPr>
        <w:t>wieloaspektowy wachlarz pomocy i wsparcia specjalistycznego</w:t>
      </w:r>
      <w:r w:rsidR="00FB40CF" w:rsidRPr="00327458">
        <w:rPr>
          <w:rFonts w:ascii="Arial" w:hAnsi="Arial" w:cs="Arial"/>
          <w:color w:val="000000" w:themeColor="text1"/>
        </w:rPr>
        <w:t xml:space="preserve"> (psychologicznego, psychiatrycznego, medycznego, terapii uzależnień, ekonomicznego w zakresie wychodzenia z długów)</w:t>
      </w:r>
      <w:r w:rsidR="00131E7A" w:rsidRPr="00327458">
        <w:rPr>
          <w:rFonts w:ascii="Arial" w:hAnsi="Arial" w:cs="Arial"/>
          <w:color w:val="000000" w:themeColor="text1"/>
        </w:rPr>
        <w:t>, który pozwoli „skroić na miarę” działa</w:t>
      </w:r>
      <w:r w:rsidR="00BE6B72" w:rsidRPr="00327458">
        <w:rPr>
          <w:rFonts w:ascii="Arial" w:hAnsi="Arial" w:cs="Arial"/>
          <w:color w:val="000000" w:themeColor="text1"/>
        </w:rPr>
        <w:t>nia</w:t>
      </w:r>
      <w:r w:rsidR="00131E7A" w:rsidRPr="00327458">
        <w:rPr>
          <w:rFonts w:ascii="Arial" w:hAnsi="Arial" w:cs="Arial"/>
          <w:color w:val="000000" w:themeColor="text1"/>
        </w:rPr>
        <w:t xml:space="preserve"> celowan</w:t>
      </w:r>
      <w:r w:rsidR="00BE6B72" w:rsidRPr="00327458">
        <w:rPr>
          <w:rFonts w:ascii="Arial" w:hAnsi="Arial" w:cs="Arial"/>
          <w:color w:val="000000" w:themeColor="text1"/>
        </w:rPr>
        <w:t>e</w:t>
      </w:r>
      <w:r w:rsidR="00131E7A" w:rsidRPr="00327458">
        <w:rPr>
          <w:rFonts w:ascii="Arial" w:hAnsi="Arial" w:cs="Arial"/>
          <w:color w:val="000000" w:themeColor="text1"/>
        </w:rPr>
        <w:t xml:space="preserve"> </w:t>
      </w:r>
      <w:r w:rsidR="005B5FB0" w:rsidRPr="00327458">
        <w:rPr>
          <w:rFonts w:ascii="Arial" w:hAnsi="Arial" w:cs="Arial"/>
          <w:color w:val="000000" w:themeColor="text1"/>
        </w:rPr>
        <w:t>w</w:t>
      </w:r>
      <w:r w:rsidR="00131E7A" w:rsidRPr="00327458">
        <w:rPr>
          <w:rFonts w:ascii="Arial" w:hAnsi="Arial" w:cs="Arial"/>
          <w:color w:val="000000" w:themeColor="text1"/>
        </w:rPr>
        <w:t xml:space="preserve"> przezwyciężenie kryzysu, w</w:t>
      </w:r>
      <w:r w:rsidR="00832052" w:rsidRPr="00327458">
        <w:rPr>
          <w:rFonts w:ascii="Arial" w:hAnsi="Arial" w:cs="Arial"/>
          <w:color w:val="000000" w:themeColor="text1"/>
        </w:rPr>
        <w:t> </w:t>
      </w:r>
      <w:r w:rsidR="00131E7A" w:rsidRPr="00327458">
        <w:rPr>
          <w:rFonts w:ascii="Arial" w:hAnsi="Arial" w:cs="Arial"/>
          <w:color w:val="000000" w:themeColor="text1"/>
        </w:rPr>
        <w:t xml:space="preserve">jakim znalazła się </w:t>
      </w:r>
      <w:r w:rsidR="00295690" w:rsidRPr="00327458">
        <w:rPr>
          <w:rFonts w:ascii="Arial" w:hAnsi="Arial" w:cs="Arial"/>
          <w:color w:val="000000" w:themeColor="text1"/>
        </w:rPr>
        <w:t xml:space="preserve">dana </w:t>
      </w:r>
      <w:r w:rsidR="00131E7A" w:rsidRPr="00327458">
        <w:rPr>
          <w:rFonts w:ascii="Arial" w:hAnsi="Arial" w:cs="Arial"/>
          <w:color w:val="000000" w:themeColor="text1"/>
        </w:rPr>
        <w:t>osoba.</w:t>
      </w:r>
    </w:p>
    <w:p w:rsidR="00E3782D" w:rsidRPr="00327458" w:rsidRDefault="00E328D5" w:rsidP="00590A3A">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Osoby w kryzysie bezdomności borykają się z poważnymi problemami zdrowotnymi, </w:t>
      </w:r>
      <w:r w:rsidR="00FB40CF" w:rsidRPr="00327458">
        <w:rPr>
          <w:rFonts w:ascii="Arial" w:hAnsi="Arial" w:cs="Arial"/>
          <w:color w:val="000000" w:themeColor="text1"/>
        </w:rPr>
        <w:t>a poprawa ich kondycji jest elementarnym warunkiem planowania, a w dalszej perspektywie realizowania działań w zakresie aktywizacji społecznej. S</w:t>
      </w:r>
      <w:r w:rsidRPr="00327458">
        <w:rPr>
          <w:rFonts w:ascii="Arial" w:hAnsi="Arial" w:cs="Arial"/>
          <w:color w:val="000000" w:themeColor="text1"/>
        </w:rPr>
        <w:t xml:space="preserve">tąd też, w odpowiedzi na te potrzeby, </w:t>
      </w:r>
      <w:r w:rsidR="00FB40CF" w:rsidRPr="00327458">
        <w:rPr>
          <w:rFonts w:ascii="Arial" w:hAnsi="Arial" w:cs="Arial"/>
          <w:color w:val="000000" w:themeColor="text1"/>
        </w:rPr>
        <w:t>należy rozwijać katalog usług zdrowotnych</w:t>
      </w:r>
      <w:r w:rsidR="009908DA" w:rsidRPr="00327458">
        <w:rPr>
          <w:rFonts w:ascii="Arial" w:hAnsi="Arial" w:cs="Arial"/>
          <w:color w:val="000000" w:themeColor="text1"/>
        </w:rPr>
        <w:t xml:space="preserve"> świadczonych indywidualnie, w</w:t>
      </w:r>
      <w:r w:rsidR="00832052" w:rsidRPr="00327458">
        <w:rPr>
          <w:rFonts w:ascii="Arial" w:hAnsi="Arial" w:cs="Arial"/>
          <w:color w:val="000000" w:themeColor="text1"/>
        </w:rPr>
        <w:t> </w:t>
      </w:r>
      <w:r w:rsidR="009908DA" w:rsidRPr="00327458">
        <w:rPr>
          <w:rFonts w:ascii="Arial" w:hAnsi="Arial" w:cs="Arial"/>
          <w:color w:val="000000" w:themeColor="text1"/>
        </w:rPr>
        <w:t xml:space="preserve">miejscach pielęgnacyjno-opiekuńczych, w tym świadczonych interwencyjnie np. po okresie hospitalizacji. </w:t>
      </w:r>
      <w:r w:rsidR="00E3782D" w:rsidRPr="00327458">
        <w:rPr>
          <w:rFonts w:ascii="Arial" w:hAnsi="Arial" w:cs="Arial"/>
          <w:color w:val="000000" w:themeColor="text1"/>
        </w:rPr>
        <w:t>Rozwiązania w zakresie tworzenia placówek/oddziałów o charakterze interwencyjnym dla osób w kryzysie bezdomności wymagających usług opiekuńczych, w</w:t>
      </w:r>
      <w:r w:rsidR="00832052" w:rsidRPr="00327458">
        <w:rPr>
          <w:rFonts w:ascii="Arial" w:hAnsi="Arial" w:cs="Arial"/>
          <w:color w:val="000000" w:themeColor="text1"/>
        </w:rPr>
        <w:t> </w:t>
      </w:r>
      <w:r w:rsidR="00E3782D" w:rsidRPr="00327458">
        <w:rPr>
          <w:rFonts w:ascii="Arial" w:hAnsi="Arial" w:cs="Arial"/>
          <w:color w:val="000000" w:themeColor="text1"/>
        </w:rPr>
        <w:t>których osoby te będą diagnozowane w zakresie stanu zdrowia i możliwości samoobsługowych są rekomendowane we wnioskach badawczych ujętych w raporcie „Dostępność usług opiekuńczych dla osób w kryzysie bezdomności”</w:t>
      </w:r>
      <w:r w:rsidR="00E3782D" w:rsidRPr="00327458">
        <w:rPr>
          <w:rStyle w:val="Odwoanieprzypisudolnego"/>
          <w:rFonts w:ascii="Arial" w:hAnsi="Arial" w:cs="Arial"/>
          <w:color w:val="000000" w:themeColor="text1"/>
        </w:rPr>
        <w:footnoteReference w:id="79"/>
      </w:r>
      <w:r w:rsidR="00E3782D" w:rsidRPr="00327458">
        <w:rPr>
          <w:rFonts w:ascii="Arial" w:hAnsi="Arial" w:cs="Arial"/>
          <w:color w:val="000000" w:themeColor="text1"/>
        </w:rPr>
        <w:t>.</w:t>
      </w:r>
    </w:p>
    <w:p w:rsidR="005038A6" w:rsidRPr="00327458" w:rsidRDefault="005038A6" w:rsidP="005038A6">
      <w:pPr>
        <w:spacing w:after="0" w:line="360" w:lineRule="auto"/>
        <w:ind w:firstLine="708"/>
        <w:rPr>
          <w:rFonts w:ascii="Arial" w:hAnsi="Arial" w:cs="Arial"/>
          <w:color w:val="000000" w:themeColor="text1"/>
        </w:rPr>
      </w:pPr>
      <w:r w:rsidRPr="00327458">
        <w:rPr>
          <w:rFonts w:ascii="Arial" w:hAnsi="Arial" w:cs="Arial"/>
          <w:color w:val="000000" w:themeColor="text1"/>
        </w:rPr>
        <w:t>Istotną alternatywę dla umieszczania osób w kryzysie bezdomności w domach pomocy społecznej jest uruchamianie mieszkań chronionych (treningowych i wspieranych) oraz w ramach metody „Najpierw mieszkanie” (</w:t>
      </w:r>
      <w:r w:rsidRPr="00327458">
        <w:rPr>
          <w:rFonts w:ascii="Arial" w:hAnsi="Arial" w:cs="Arial"/>
          <w:i/>
          <w:color w:val="000000" w:themeColor="text1"/>
        </w:rPr>
        <w:t>Housing first</w:t>
      </w:r>
      <w:r w:rsidRPr="00327458">
        <w:rPr>
          <w:rFonts w:ascii="Arial" w:hAnsi="Arial" w:cs="Arial"/>
          <w:color w:val="000000" w:themeColor="text1"/>
        </w:rPr>
        <w:t>), umożliwiających tym osobom z jednej strony, przezwyciężyć kryzys, w którym się znajdują, zaś z drugiej, pozostać w środowisku lokalnym. Nieodłącznym elementem funkcjonowania wspomnianych mieszkań jest zapewnienie świadczenia usług asystenckich i opiekuńczych stwarzających perspektywę partycypacji społecznej, a w perspektywie długoterminowej szansę usamodzielniania osób w kryzysie bezdomności.</w:t>
      </w:r>
    </w:p>
    <w:p w:rsidR="005038A6" w:rsidRPr="00327458" w:rsidRDefault="005038A6" w:rsidP="005038A6">
      <w:pPr>
        <w:pStyle w:val="Nagwek1"/>
        <w:spacing w:before="100" w:beforeAutospacing="1" w:after="100" w:afterAutospacing="1"/>
        <w:rPr>
          <w:color w:val="000000" w:themeColor="text1"/>
          <w:sz w:val="28"/>
          <w:szCs w:val="28"/>
        </w:rPr>
      </w:pPr>
      <w:r w:rsidRPr="00327458">
        <w:rPr>
          <w:color w:val="000000" w:themeColor="text1"/>
          <w:sz w:val="28"/>
          <w:szCs w:val="28"/>
        </w:rPr>
        <w:t>Potrzeby gmin w zakresie świadczenia usług społecznych, w tym w</w:t>
      </w:r>
      <w:r w:rsidR="006F3D35">
        <w:rPr>
          <w:color w:val="000000" w:themeColor="text1"/>
          <w:sz w:val="28"/>
          <w:szCs w:val="28"/>
        </w:rPr>
        <w:t> </w:t>
      </w:r>
      <w:r w:rsidRPr="00327458">
        <w:rPr>
          <w:color w:val="000000" w:themeColor="text1"/>
          <w:sz w:val="28"/>
          <w:szCs w:val="28"/>
        </w:rPr>
        <w:t>formie środowiskowej i zdeinstytucjonalizowanej</w:t>
      </w:r>
    </w:p>
    <w:p w:rsidR="005038A6" w:rsidRPr="00327458" w:rsidRDefault="005038A6" w:rsidP="005038A6">
      <w:pPr>
        <w:spacing w:after="0" w:line="360" w:lineRule="auto"/>
        <w:rPr>
          <w:rFonts w:ascii="Arial" w:hAnsi="Arial" w:cs="Arial"/>
          <w:color w:val="000000" w:themeColor="text1"/>
        </w:rPr>
      </w:pPr>
      <w:r w:rsidRPr="00327458">
        <w:rPr>
          <w:rFonts w:ascii="Arial" w:hAnsi="Arial" w:cs="Arial"/>
          <w:color w:val="000000" w:themeColor="text1"/>
        </w:rPr>
        <w:t>Zgodnie z obowiązującymi przepisami gminy oraz powiaty każdego roku do 30 kwietnia przygotowują ocenę zasobów pomocy społecznej za poprzedni rok sprawozdawczy. Końcowym elementem oceny jest sporządzenie wniosków oraz rekomendacji, które z założenia mają posłużyć planowaniu budżetu na kolejny rok. Niestety, tylko część jednostek organizacyjnych pomocy społecznej wskazuje w nich potrzeby i tendencje dotyczące utrzymania świadczenia i rozwoju usług społecznych</w:t>
      </w:r>
      <w:r w:rsidRPr="00327458">
        <w:rPr>
          <w:rStyle w:val="Odwoanieprzypisudolnego"/>
          <w:rFonts w:ascii="Arial" w:hAnsi="Arial" w:cs="Arial"/>
          <w:color w:val="000000" w:themeColor="text1"/>
        </w:rPr>
        <w:footnoteReference w:id="80"/>
      </w:r>
      <w:r w:rsidRPr="00327458">
        <w:rPr>
          <w:rFonts w:ascii="Arial" w:hAnsi="Arial" w:cs="Arial"/>
          <w:color w:val="000000" w:themeColor="text1"/>
        </w:rPr>
        <w:t>. Zaledwie cztery jednostki wprost wskazały potrzeby związane z deinstytucjonalizacją.</w:t>
      </w:r>
    </w:p>
    <w:p w:rsidR="00937289" w:rsidRDefault="005038A6" w:rsidP="00937289">
      <w:pPr>
        <w:spacing w:after="0" w:line="360" w:lineRule="auto"/>
        <w:ind w:firstLine="708"/>
        <w:rPr>
          <w:rFonts w:ascii="Arial" w:hAnsi="Arial" w:cs="Arial"/>
          <w:color w:val="000000" w:themeColor="text1"/>
        </w:rPr>
      </w:pPr>
      <w:r w:rsidRPr="00327458">
        <w:rPr>
          <w:rFonts w:ascii="Arial" w:hAnsi="Arial" w:cs="Arial"/>
          <w:color w:val="000000" w:themeColor="text1"/>
        </w:rPr>
        <w:lastRenderedPageBreak/>
        <w:t>Potrzeby w zakresie wsparcia rodziny we wnioskach i rekomendacjach wskazało trzydzieści jeden jednostek organizacyjnych pomocy społecznej, w tym dwadzieścia w</w:t>
      </w:r>
      <w:r w:rsidR="00937289">
        <w:rPr>
          <w:rFonts w:ascii="Arial" w:hAnsi="Arial" w:cs="Arial"/>
          <w:color w:val="000000" w:themeColor="text1"/>
        </w:rPr>
        <w:t> </w:t>
      </w:r>
      <w:r w:rsidRPr="00327458">
        <w:rPr>
          <w:rFonts w:ascii="Arial" w:hAnsi="Arial" w:cs="Arial"/>
          <w:color w:val="000000" w:themeColor="text1"/>
        </w:rPr>
        <w:t>zakresie rozwoju i wsparcia pieczy zastępczej.</w:t>
      </w:r>
    </w:p>
    <w:p w:rsidR="00937289" w:rsidRDefault="005038A6" w:rsidP="00937289">
      <w:pPr>
        <w:spacing w:after="0" w:line="360" w:lineRule="auto"/>
        <w:ind w:firstLine="708"/>
        <w:rPr>
          <w:rFonts w:ascii="Arial" w:hAnsi="Arial" w:cs="Arial"/>
          <w:color w:val="000000" w:themeColor="text1"/>
        </w:rPr>
      </w:pPr>
      <w:r w:rsidRPr="00327458">
        <w:rPr>
          <w:rFonts w:ascii="Arial" w:hAnsi="Arial" w:cs="Arial"/>
          <w:color w:val="000000" w:themeColor="text1"/>
        </w:rPr>
        <w:t>W obszarze wsparcia rodziny dostrzeżono potrzeby w zakresie promowania funkcjonowania rodzin wspierających, rozwoju specjalistycznego wsparcia rodziny, utrzymania i rozszerzenia zakresu asystentury rodzin. Wymienione działania mają na celu podnoszenie kompetencji rodzin w celu profilaktyki umieszczania dzieci w pieczy. Wsparciem w tym zakresie powinno być także tworzenie punktów specjalistycznego poradnictwa oraz samopomoc lokalna (m.in. poprzez udział w lokalnych inicjatywach). Wskazano także potrzebę organizowania czasu wolnego dzieciom i młodzieży m.in. w celu przeciwdziałania uzależnieniom. Wsparciem w tym zakresie powinno być tworzenie placówek wsparcia dziennego, w tym w formie specjalistycznej.</w:t>
      </w:r>
    </w:p>
    <w:p w:rsidR="00F92DC0" w:rsidRDefault="005038A6" w:rsidP="00F92DC0">
      <w:pPr>
        <w:spacing w:after="0" w:line="360" w:lineRule="auto"/>
        <w:ind w:firstLine="708"/>
        <w:rPr>
          <w:rFonts w:ascii="Arial" w:hAnsi="Arial" w:cs="Arial"/>
          <w:color w:val="000000" w:themeColor="text1"/>
        </w:rPr>
      </w:pPr>
      <w:r w:rsidRPr="00327458">
        <w:rPr>
          <w:rFonts w:ascii="Arial" w:hAnsi="Arial" w:cs="Arial"/>
          <w:color w:val="000000" w:themeColor="text1"/>
        </w:rPr>
        <w:t>Zgłaszane przez jednostki pomocy społecznej potrzeby w zakresie systemu pieczy zastępczej obejmowały kwestie takie jak: prowadzenie działań informacyjnych i pozyskiwanie kandydatów na rodziny zastępcze, przeciwdziałanie wypaleniu zawodowemu oraz podnoszenie kompetencji opiekuńczo-wychowawczych rodzin zastępczych, szkolenie kadr pieczy zastępczej – także w zakresie posiadania uprawnień do szkolenia na rodziny zastępcze. Najczęściej występowały jednak potrzeby w zakresie zwiększania liczby miejsc w pieczy zastępczej rodzinnej i instytucjonalnej (w tym dla dzieci powyżej 10 r. ż., wieloosobowych rodzeństw, w formach specjalistycznych dla dzieci z niepełnosprawnością, miejsc specjalistyczno-terapeutycznych, interwencyjnych oraz socjalizacyjno-interwencyjnych, a także w rodzinach pełniących funkcję pogotowia rodzinnego). Ponadto istnieje potrzeba zapewnienia badań specjalistycznych i diagnoz dzieciom w pieczy, telefonu zaufania/wsparcia, funkcjonowania grup wsparcia dla dzieci i opiekunów (integracja) oraz innych form wsparcia specjalistycznego, w tym psychologicznego.</w:t>
      </w:r>
    </w:p>
    <w:p w:rsidR="000C53FE" w:rsidRDefault="005038A6" w:rsidP="000C53FE">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W grupie osób z niepełnosprawnościami potrzeby jednostek pomocy </w:t>
      </w:r>
      <w:r w:rsidR="000C53FE">
        <w:rPr>
          <w:rFonts w:ascii="Arial" w:hAnsi="Arial" w:cs="Arial"/>
          <w:color w:val="000000" w:themeColor="text1"/>
        </w:rPr>
        <w:t xml:space="preserve">społecznej </w:t>
      </w:r>
      <w:r w:rsidRPr="00327458">
        <w:rPr>
          <w:rFonts w:ascii="Arial" w:hAnsi="Arial" w:cs="Arial"/>
          <w:color w:val="000000" w:themeColor="text1"/>
        </w:rPr>
        <w:t>skupiały się na dążeniu do zapewnienia maksymalnie samodzielnego życia. W tym celu należy upowszechniać usługę asystencji osobistej, tworzyć grupy samopomocowe oraz wspierać opiekunów osób z niepełnosprawnościami. W zakresie wsparcia w formie instytucjonalnej wskazano rozwój warsztatów terapii zajęciowej, w tym dla dzieci; środowiskowych domów samopomocy, w tym dla osób z niepełnosprawnością intelektualną oraz autyzmem, a także mieszkalnictwa chronionego (treningowego i wspomaganego).</w:t>
      </w:r>
    </w:p>
    <w:p w:rsidR="0097209C" w:rsidRDefault="005038A6" w:rsidP="0097209C">
      <w:pPr>
        <w:spacing w:after="0" w:line="360" w:lineRule="auto"/>
        <w:ind w:firstLine="708"/>
        <w:rPr>
          <w:rFonts w:ascii="Arial" w:hAnsi="Arial" w:cs="Arial"/>
          <w:color w:val="000000" w:themeColor="text1"/>
        </w:rPr>
      </w:pPr>
      <w:r w:rsidRPr="00327458">
        <w:rPr>
          <w:rFonts w:ascii="Arial" w:hAnsi="Arial" w:cs="Arial"/>
          <w:color w:val="000000" w:themeColor="text1"/>
        </w:rPr>
        <w:t xml:space="preserve">Także w grupie osób w wieku senioralnym wnioski i rekomendacje można podzielić na te z obszaru wsparcia instytucjonalnego i w pozostałych formach. Jeśli idzie o instytucje, wskazano potrzebę rozwoju form dziennych (dostosowanego do utrzymania zatrudnienia przez osoby opiekujące się) tj. </w:t>
      </w:r>
      <w:r w:rsidR="001419DA">
        <w:rPr>
          <w:rFonts w:ascii="Arial" w:hAnsi="Arial" w:cs="Arial"/>
          <w:color w:val="000000" w:themeColor="text1"/>
        </w:rPr>
        <w:t>k</w:t>
      </w:r>
      <w:r w:rsidRPr="00327458">
        <w:rPr>
          <w:rFonts w:ascii="Arial" w:hAnsi="Arial" w:cs="Arial"/>
          <w:color w:val="000000" w:themeColor="text1"/>
        </w:rPr>
        <w:t xml:space="preserve">lubów </w:t>
      </w:r>
      <w:r w:rsidR="001419DA">
        <w:rPr>
          <w:rFonts w:ascii="Arial" w:hAnsi="Arial" w:cs="Arial"/>
          <w:color w:val="000000" w:themeColor="text1"/>
        </w:rPr>
        <w:t>i</w:t>
      </w:r>
      <w:r w:rsidRPr="00327458">
        <w:rPr>
          <w:rFonts w:ascii="Arial" w:hAnsi="Arial" w:cs="Arial"/>
          <w:color w:val="000000" w:themeColor="text1"/>
        </w:rPr>
        <w:t xml:space="preserve"> dziennych domów</w:t>
      </w:r>
      <w:r w:rsidR="001419DA">
        <w:rPr>
          <w:rFonts w:ascii="Arial" w:hAnsi="Arial" w:cs="Arial"/>
          <w:color w:val="000000" w:themeColor="text1"/>
        </w:rPr>
        <w:t xml:space="preserve"> </w:t>
      </w:r>
      <w:r w:rsidR="007542E7">
        <w:rPr>
          <w:rFonts w:ascii="Arial" w:hAnsi="Arial" w:cs="Arial"/>
          <w:color w:val="000000" w:themeColor="text1"/>
        </w:rPr>
        <w:t>„</w:t>
      </w:r>
      <w:r w:rsidR="001419DA">
        <w:rPr>
          <w:rFonts w:ascii="Arial" w:hAnsi="Arial" w:cs="Arial"/>
          <w:color w:val="000000" w:themeColor="text1"/>
        </w:rPr>
        <w:t>Senior+</w:t>
      </w:r>
      <w:r w:rsidR="007542E7">
        <w:rPr>
          <w:rFonts w:ascii="Arial" w:hAnsi="Arial" w:cs="Arial"/>
          <w:color w:val="000000" w:themeColor="text1"/>
        </w:rPr>
        <w:t>”</w:t>
      </w:r>
      <w:r w:rsidRPr="00327458">
        <w:rPr>
          <w:rFonts w:ascii="Arial" w:hAnsi="Arial" w:cs="Arial"/>
          <w:color w:val="000000" w:themeColor="text1"/>
        </w:rPr>
        <w:t xml:space="preserve">. Natomiast w przypadku placówek całodobowych podkreślano znaczenie rodzinnych domów pomocy oraz domów </w:t>
      </w:r>
      <w:r w:rsidRPr="00327458">
        <w:rPr>
          <w:rFonts w:ascii="Arial" w:hAnsi="Arial" w:cs="Arial"/>
          <w:color w:val="000000" w:themeColor="text1"/>
        </w:rPr>
        <w:lastRenderedPageBreak/>
        <w:t>pomocy społecznej – zwiększenia liczby miejsc oraz spowodowanej rosnącym kosztem utrzymania potrzeby rozwoju usług w formie pozainstytucjonalnej. Wsparciem w zakresie rozwoju form pozainstytucjonaln</w:t>
      </w:r>
      <w:r w:rsidR="0097209C">
        <w:rPr>
          <w:rFonts w:ascii="Arial" w:hAnsi="Arial" w:cs="Arial"/>
          <w:color w:val="000000" w:themeColor="text1"/>
        </w:rPr>
        <w:t>ych</w:t>
      </w:r>
      <w:r w:rsidRPr="00327458">
        <w:rPr>
          <w:rFonts w:ascii="Arial" w:hAnsi="Arial" w:cs="Arial"/>
          <w:color w:val="000000" w:themeColor="text1"/>
        </w:rPr>
        <w:t xml:space="preserve"> powinny być usługi środowiskowe, takie jak: asystentura osobista, tworzenie grup samopomocowych, Uniwersytetów Trzeciego Wieku, Rad Seniorów, opieka dzienna, wykorzystanie nowych technologii we wsparciu seniorów (np. teleopieka) czy rozwój mieszkalnictwa wspomaganego. Należy podejmować działania edukacyjne mające na celu rozwój zainteresowań, integrację międzypokoleniową oraz ze społecznością lokalną m.in. poprzez wolontariat seniorów i szeroko rozumianą aktywność lokalną. Wspomniana siatka wsparcia powinna uwzględniać także potrzeby związane ze zdrowiem. W tym zakresie istnieje potrzeba świadczenia usług specjalistycznych, w tym psychologicznych, opieki medycznej i wytchnieniowej, mobilnej rehabilitacji czy bezpłatnego wypożyczania sprzętu rehabilitacyjnego.</w:t>
      </w:r>
    </w:p>
    <w:p w:rsidR="00B3260C" w:rsidRDefault="005038A6" w:rsidP="00B3260C">
      <w:pPr>
        <w:spacing w:after="0" w:line="360" w:lineRule="auto"/>
        <w:ind w:firstLine="708"/>
        <w:rPr>
          <w:rFonts w:ascii="Arial" w:hAnsi="Arial" w:cs="Arial"/>
          <w:color w:val="000000" w:themeColor="text1"/>
        </w:rPr>
      </w:pPr>
      <w:r w:rsidRPr="00327458">
        <w:rPr>
          <w:rFonts w:ascii="Arial" w:hAnsi="Arial" w:cs="Arial"/>
          <w:color w:val="000000" w:themeColor="text1"/>
        </w:rPr>
        <w:t>Wśród kwestii wspólnych dla osób w wieku senioralnym oraz osób z</w:t>
      </w:r>
      <w:r w:rsidR="00B3260C">
        <w:rPr>
          <w:rFonts w:ascii="Arial" w:hAnsi="Arial" w:cs="Arial"/>
          <w:color w:val="000000" w:themeColor="text1"/>
        </w:rPr>
        <w:t> </w:t>
      </w:r>
      <w:r w:rsidRPr="00327458">
        <w:rPr>
          <w:rFonts w:ascii="Arial" w:hAnsi="Arial" w:cs="Arial"/>
          <w:color w:val="000000" w:themeColor="text1"/>
        </w:rPr>
        <w:t>niepełnosprawnościami można wskazać potrzeby rozwoju usług opiekuńczych, w tym specjalistycznych, pomocy sąsiedzkiej oraz szkolenia kadr, by dostosować ich kompetencje do zmieniających się potrzeb osób ze wskazanych grup.</w:t>
      </w:r>
    </w:p>
    <w:p w:rsidR="00DE4F6C" w:rsidRDefault="005038A6" w:rsidP="00DE4F6C">
      <w:pPr>
        <w:spacing w:after="0" w:line="360" w:lineRule="auto"/>
        <w:ind w:firstLine="708"/>
        <w:rPr>
          <w:rFonts w:ascii="Arial" w:hAnsi="Arial" w:cs="Arial"/>
          <w:color w:val="000000" w:themeColor="text1"/>
        </w:rPr>
      </w:pPr>
      <w:r w:rsidRPr="00327458">
        <w:rPr>
          <w:rFonts w:ascii="Arial" w:hAnsi="Arial" w:cs="Arial"/>
          <w:color w:val="000000" w:themeColor="text1"/>
        </w:rPr>
        <w:t>W przypadku osób w kryzysie bezdomności rekomendacje i w związku z tym potrzeby jednostek pomocy społecznej</w:t>
      </w:r>
      <w:r w:rsidR="006C34B1">
        <w:rPr>
          <w:rFonts w:ascii="Arial" w:hAnsi="Arial" w:cs="Arial"/>
          <w:color w:val="000000" w:themeColor="text1"/>
        </w:rPr>
        <w:t xml:space="preserve"> z terenu województwa pomorskiego</w:t>
      </w:r>
      <w:r w:rsidRPr="00327458">
        <w:rPr>
          <w:rFonts w:ascii="Arial" w:hAnsi="Arial" w:cs="Arial"/>
          <w:color w:val="000000" w:themeColor="text1"/>
        </w:rPr>
        <w:t xml:space="preserve"> skupiają się na wsparciu instytucjonalnym – zwiększenia miejsc w placówkach, w tym świadczących usługi opiekuńcze (także w zakładach pielęgnacyjno-opiekuńczych). Największe potrzeby dotyczą jednak konieczności zwiększania liczby mieszkań socjalnych, komunalnych, chronionych, dostosowania do zamieszkania lokali będących w posiadaniu gminy – potrzeby te dotyczą nie tylko osób w kryzysie bezdomności, ale także osób o niskich dochodach. Alternatywą jest</w:t>
      </w:r>
      <w:r w:rsidR="006C34B1">
        <w:rPr>
          <w:rFonts w:ascii="Arial" w:hAnsi="Arial" w:cs="Arial"/>
          <w:color w:val="000000" w:themeColor="text1"/>
        </w:rPr>
        <w:t> </w:t>
      </w:r>
      <w:r w:rsidRPr="00327458">
        <w:rPr>
          <w:rFonts w:ascii="Arial" w:hAnsi="Arial" w:cs="Arial"/>
          <w:color w:val="000000" w:themeColor="text1"/>
        </w:rPr>
        <w:t>tworzenie centrów opiekuńczo-mieszkalnych. Istotne jest prowadzenie działań w</w:t>
      </w:r>
      <w:r w:rsidR="00DE4F6C">
        <w:rPr>
          <w:rFonts w:ascii="Arial" w:hAnsi="Arial" w:cs="Arial"/>
          <w:color w:val="000000" w:themeColor="text1"/>
        </w:rPr>
        <w:t> </w:t>
      </w:r>
      <w:r w:rsidRPr="00327458">
        <w:rPr>
          <w:rFonts w:ascii="Arial" w:hAnsi="Arial" w:cs="Arial"/>
          <w:color w:val="000000" w:themeColor="text1"/>
        </w:rPr>
        <w:t>zakresie profilaktyki bezdomności, w tym edukacji osób zadłużonych oraz streetworkingu.</w:t>
      </w:r>
    </w:p>
    <w:p w:rsidR="00DE4F6C" w:rsidRDefault="005038A6" w:rsidP="00DE4F6C">
      <w:pPr>
        <w:spacing w:after="0" w:line="360" w:lineRule="auto"/>
        <w:ind w:firstLine="708"/>
        <w:rPr>
          <w:rFonts w:ascii="Arial" w:hAnsi="Arial" w:cs="Arial"/>
          <w:color w:val="000000" w:themeColor="text1"/>
        </w:rPr>
      </w:pPr>
      <w:r w:rsidRPr="00327458">
        <w:rPr>
          <w:rFonts w:ascii="Arial" w:hAnsi="Arial" w:cs="Arial"/>
          <w:color w:val="000000" w:themeColor="text1"/>
        </w:rPr>
        <w:t>Osoby w kryzysie psychicznym i z zaburzeniami psychicznymi należy wspierać poprzez zapewnienie tym osobom (dorosłym jak i dzieciom) wsparcia psychologicznego, działania edukacyjne i wspierające dla rodzin tych osób, wparcie asystencją osobistą oraz dedykowane tej grupie osób miejsca w domach pomocy społecznej.</w:t>
      </w:r>
    </w:p>
    <w:p w:rsidR="00DE4F6C" w:rsidRDefault="005038A6" w:rsidP="00DE4F6C">
      <w:pPr>
        <w:spacing w:after="0" w:line="360" w:lineRule="auto"/>
        <w:ind w:firstLine="708"/>
        <w:rPr>
          <w:rFonts w:ascii="Arial" w:hAnsi="Arial" w:cs="Arial"/>
          <w:color w:val="000000" w:themeColor="text1"/>
        </w:rPr>
      </w:pPr>
      <w:r w:rsidRPr="00327458">
        <w:rPr>
          <w:rFonts w:ascii="Arial" w:hAnsi="Arial" w:cs="Arial"/>
          <w:color w:val="000000" w:themeColor="text1"/>
        </w:rPr>
        <w:t>Istotnym wątkiem z perspektywy planowania deinstytucjonalizacji jest zapewnienie kadr realizujących to przedsięwzięcie. Wyniki rokrocznie przeprowadzanej prognozy zapotrzebowania na pracowników w wybranych zawodach na poziomie powiatów – badania Barometr Zawodów</w:t>
      </w:r>
      <w:r w:rsidRPr="00327458">
        <w:rPr>
          <w:rStyle w:val="Odwoanieprzypisudolnego"/>
          <w:rFonts w:ascii="Arial" w:hAnsi="Arial" w:cs="Arial"/>
          <w:color w:val="000000" w:themeColor="text1"/>
        </w:rPr>
        <w:footnoteReference w:id="81"/>
      </w:r>
      <w:r w:rsidRPr="00327458">
        <w:rPr>
          <w:rFonts w:ascii="Arial" w:hAnsi="Arial" w:cs="Arial"/>
          <w:color w:val="000000" w:themeColor="text1"/>
        </w:rPr>
        <w:t xml:space="preserve"> – wskazują na długotrwały problem z zatrudnieniem osób w grupach </w:t>
      </w:r>
      <w:r w:rsidRPr="00327458">
        <w:rPr>
          <w:rFonts w:ascii="Arial" w:hAnsi="Arial" w:cs="Arial"/>
          <w:color w:val="000000" w:themeColor="text1"/>
        </w:rPr>
        <w:lastRenderedPageBreak/>
        <w:t>zawodów: psycholodzy i psychoterapeuci(od 2020 r.), pracownicy socjalni(od 2019 r.) oraz opiekunowie osoby starszej i niepełnosprawnej(od 2016 r.).</w:t>
      </w:r>
    </w:p>
    <w:p w:rsidR="005038A6" w:rsidRPr="00327458" w:rsidRDefault="005038A6" w:rsidP="00DE4F6C">
      <w:pPr>
        <w:spacing w:after="0" w:line="360" w:lineRule="auto"/>
        <w:ind w:firstLine="708"/>
        <w:rPr>
          <w:rFonts w:ascii="Arial" w:hAnsi="Arial" w:cs="Arial"/>
          <w:color w:val="000000" w:themeColor="text1"/>
        </w:rPr>
      </w:pPr>
      <w:r w:rsidRPr="00327458">
        <w:rPr>
          <w:rFonts w:ascii="Arial" w:hAnsi="Arial" w:cs="Arial"/>
          <w:color w:val="000000" w:themeColor="text1"/>
        </w:rPr>
        <w:t>Wątek zaspokojenia potrzeb kadrowych w jednostkach pomocy społecznej oraz konieczności podnoszenia ich kwalifikacji zajmuje istotne miejsce w przekazywanej rokrocznie ocenie zasobów pomocy społecznej. W ocenie za 2021 rok 19 jednostek wskazało te kwestie we wnioskach i rekomendacjach. Oczekiwania w tym zakresie obejmują między innymi: zapewnienie środków finansowych, działań na rzecz profesjonalizacji osób świadczących pracę socjalną, szkolenia i dostosowanie ich treści do zmieniających się potrzeb, wizyty studyjne, superwizje, studia podyplomowe, warsztaty, seminaria oraz coaching. Potrzeby te rosną wraz z zakresem obowiązków nakładanych przez prawo oraz z wielością zadań, jakie każdego dnia wykonują pracownicy i pracownice socjalne. Dlatego też wyzwanie to jest szczególnie istotne z perspektywy deinstytucjonalizacji, która będzie wymagała nie tylko zwiększenia liczebności osób świadczących tego typu pracę w lokalnych społecznościach, ale także odpowiedniego przygotowania merytorycznego, przeciwdziałania wypaleniu zawodowemu oraz zapewnienie bezpiecznych warunków pracy.</w:t>
      </w:r>
    </w:p>
    <w:p w:rsidR="005038A6" w:rsidRPr="00327458" w:rsidRDefault="005038A6" w:rsidP="00DE4F6C">
      <w:pPr>
        <w:spacing w:before="4200" w:after="0" w:line="360" w:lineRule="auto"/>
        <w:rPr>
          <w:rFonts w:ascii="Arial" w:hAnsi="Arial" w:cs="Arial"/>
          <w:color w:val="000000" w:themeColor="text1"/>
        </w:rPr>
      </w:pPr>
      <w:r w:rsidRPr="00327458">
        <w:rPr>
          <w:rFonts w:ascii="Arial" w:hAnsi="Arial" w:cs="Arial"/>
          <w:color w:val="000000" w:themeColor="text1"/>
        </w:rPr>
        <w:t>Opracowanie:</w:t>
      </w:r>
    </w:p>
    <w:p w:rsidR="005038A6" w:rsidRPr="00327458" w:rsidRDefault="005038A6" w:rsidP="005038A6">
      <w:pPr>
        <w:rPr>
          <w:rFonts w:ascii="Arial" w:hAnsi="Arial" w:cs="Arial"/>
          <w:color w:val="000000" w:themeColor="text1"/>
        </w:rPr>
      </w:pPr>
      <w:r w:rsidRPr="00327458">
        <w:rPr>
          <w:rFonts w:ascii="Arial" w:hAnsi="Arial" w:cs="Arial"/>
          <w:color w:val="000000" w:themeColor="text1"/>
        </w:rPr>
        <w:t>Regionalny Ośrodek Polityki Społecznej</w:t>
      </w:r>
    </w:p>
    <w:p w:rsidR="005038A6" w:rsidRPr="00327458" w:rsidRDefault="005038A6" w:rsidP="005038A6">
      <w:pPr>
        <w:rPr>
          <w:rFonts w:ascii="Arial" w:hAnsi="Arial" w:cs="Arial"/>
          <w:color w:val="000000" w:themeColor="text1"/>
        </w:rPr>
      </w:pPr>
      <w:r w:rsidRPr="00327458">
        <w:rPr>
          <w:rFonts w:ascii="Arial" w:hAnsi="Arial" w:cs="Arial"/>
          <w:color w:val="000000" w:themeColor="text1"/>
        </w:rPr>
        <w:t>Urzędu Marszałkowskiego Województwa Pomorskiego</w:t>
      </w:r>
    </w:p>
    <w:p w:rsidR="005038A6" w:rsidRPr="00327458" w:rsidRDefault="005038A6" w:rsidP="005038A6">
      <w:pPr>
        <w:rPr>
          <w:rFonts w:ascii="Arial" w:hAnsi="Arial" w:cs="Arial"/>
          <w:b/>
          <w:color w:val="000000" w:themeColor="text1"/>
        </w:rPr>
      </w:pPr>
      <w:r w:rsidRPr="00327458">
        <w:rPr>
          <w:rFonts w:ascii="Arial" w:hAnsi="Arial" w:cs="Arial"/>
          <w:color w:val="000000" w:themeColor="text1"/>
        </w:rPr>
        <w:t>ul. Okopowa 21/27</w:t>
      </w:r>
    </w:p>
    <w:p w:rsidR="005038A6" w:rsidRPr="00327458" w:rsidRDefault="005038A6" w:rsidP="005038A6">
      <w:pPr>
        <w:rPr>
          <w:rFonts w:ascii="Arial" w:hAnsi="Arial" w:cs="Arial"/>
          <w:color w:val="000000" w:themeColor="text1"/>
        </w:rPr>
      </w:pPr>
      <w:r w:rsidRPr="00327458">
        <w:rPr>
          <w:rFonts w:ascii="Arial" w:hAnsi="Arial" w:cs="Arial"/>
          <w:color w:val="000000" w:themeColor="text1"/>
        </w:rPr>
        <w:t>80-810 Gdańsk</w:t>
      </w:r>
    </w:p>
    <w:p w:rsidR="005038A6" w:rsidRPr="00327458" w:rsidRDefault="009B04BB" w:rsidP="005038A6">
      <w:pPr>
        <w:rPr>
          <w:rFonts w:ascii="Arial" w:hAnsi="Arial" w:cs="Arial"/>
          <w:b/>
          <w:color w:val="000000" w:themeColor="text1"/>
        </w:rPr>
      </w:pPr>
      <w:hyperlink r:id="rId9" w:history="1">
        <w:r w:rsidR="005038A6" w:rsidRPr="00327458">
          <w:rPr>
            <w:rStyle w:val="Hipercze"/>
            <w:rFonts w:ascii="Arial" w:hAnsi="Arial" w:cs="Arial"/>
            <w:b/>
            <w:color w:val="000000" w:themeColor="text1"/>
          </w:rPr>
          <w:t>www.rops.pomorskie.eu</w:t>
        </w:r>
      </w:hyperlink>
    </w:p>
    <w:p w:rsidR="005038A6" w:rsidRPr="00327458" w:rsidRDefault="005038A6" w:rsidP="005038A6">
      <w:pPr>
        <w:rPr>
          <w:rFonts w:ascii="Arial" w:hAnsi="Arial" w:cs="Arial"/>
          <w:color w:val="000000" w:themeColor="text1"/>
        </w:rPr>
      </w:pPr>
      <w:r w:rsidRPr="00327458">
        <w:rPr>
          <w:rFonts w:ascii="Arial" w:hAnsi="Arial" w:cs="Arial"/>
          <w:color w:val="000000" w:themeColor="text1"/>
        </w:rPr>
        <w:t>kontakt w sprawie dokumentu:</w:t>
      </w:r>
    </w:p>
    <w:p w:rsidR="005038A6" w:rsidRPr="00327458" w:rsidRDefault="005038A6" w:rsidP="005038A6">
      <w:pPr>
        <w:rPr>
          <w:rFonts w:ascii="Arial" w:hAnsi="Arial" w:cs="Arial"/>
          <w:color w:val="000000" w:themeColor="text1"/>
        </w:rPr>
      </w:pPr>
      <w:r w:rsidRPr="00327458">
        <w:rPr>
          <w:rFonts w:ascii="Arial" w:hAnsi="Arial" w:cs="Arial"/>
          <w:color w:val="000000" w:themeColor="text1"/>
        </w:rPr>
        <w:t>Referat Analiz i Rozwoju ROPS</w:t>
      </w:r>
    </w:p>
    <w:p w:rsidR="005038A6" w:rsidRPr="00327458" w:rsidRDefault="005038A6" w:rsidP="005038A6">
      <w:pPr>
        <w:rPr>
          <w:rFonts w:ascii="Arial" w:hAnsi="Arial" w:cs="Arial"/>
          <w:color w:val="000000" w:themeColor="text1"/>
        </w:rPr>
      </w:pPr>
      <w:r w:rsidRPr="00327458">
        <w:rPr>
          <w:rFonts w:ascii="Arial" w:hAnsi="Arial" w:cs="Arial"/>
          <w:color w:val="000000" w:themeColor="text1"/>
        </w:rPr>
        <w:t>Mateusz Rutkowski</w:t>
      </w:r>
    </w:p>
    <w:p w:rsidR="00674535" w:rsidRPr="00327458" w:rsidRDefault="005038A6" w:rsidP="005038A6">
      <w:pPr>
        <w:rPr>
          <w:rFonts w:ascii="Arial" w:hAnsi="Arial" w:cs="Arial"/>
          <w:b/>
          <w:color w:val="000000" w:themeColor="text1"/>
          <w:u w:val="single"/>
        </w:rPr>
      </w:pPr>
      <w:r w:rsidRPr="00327458">
        <w:rPr>
          <w:rFonts w:ascii="Arial" w:hAnsi="Arial" w:cs="Arial"/>
          <w:color w:val="000000" w:themeColor="text1"/>
        </w:rPr>
        <w:t xml:space="preserve">tel. 58 326 89 86, e-mail: </w:t>
      </w:r>
      <w:r w:rsidRPr="00327458">
        <w:rPr>
          <w:rStyle w:val="Hipercze"/>
          <w:rFonts w:ascii="Arial" w:hAnsi="Arial" w:cs="Arial"/>
          <w:b/>
          <w:color w:val="000000" w:themeColor="text1"/>
        </w:rPr>
        <w:t>m.rutkowski@pomorskie.eu</w:t>
      </w:r>
    </w:p>
    <w:sectPr w:rsidR="00674535" w:rsidRPr="00327458" w:rsidSect="00A012A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4BB" w:rsidRDefault="009B04BB" w:rsidP="00471423">
      <w:pPr>
        <w:spacing w:after="0" w:line="240" w:lineRule="auto"/>
      </w:pPr>
      <w:r>
        <w:separator/>
      </w:r>
    </w:p>
  </w:endnote>
  <w:endnote w:type="continuationSeparator" w:id="0">
    <w:p w:rsidR="009B04BB" w:rsidRDefault="009B04BB" w:rsidP="0047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656957"/>
      <w:docPartObj>
        <w:docPartGallery w:val="Page Numbers (Bottom of Page)"/>
        <w:docPartUnique/>
      </w:docPartObj>
    </w:sdtPr>
    <w:sdtEndPr/>
    <w:sdtContent>
      <w:p w:rsidR="002909AA" w:rsidRDefault="002909AA">
        <w:pPr>
          <w:pStyle w:val="Stopka"/>
          <w:jc w:val="right"/>
        </w:pPr>
        <w:r>
          <w:fldChar w:fldCharType="begin"/>
        </w:r>
        <w:r>
          <w:instrText>PAGE   \* MERGEFORMAT</w:instrText>
        </w:r>
        <w:r>
          <w:fldChar w:fldCharType="separate"/>
        </w:r>
        <w:r w:rsidR="00E9454F">
          <w:rPr>
            <w:noProof/>
          </w:rPr>
          <w:t>1</w:t>
        </w:r>
        <w:r>
          <w:fldChar w:fldCharType="end"/>
        </w:r>
      </w:p>
    </w:sdtContent>
  </w:sdt>
  <w:p w:rsidR="002909AA" w:rsidRDefault="002909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4BB" w:rsidRDefault="009B04BB" w:rsidP="00471423">
      <w:pPr>
        <w:spacing w:after="0" w:line="240" w:lineRule="auto"/>
      </w:pPr>
      <w:r>
        <w:separator/>
      </w:r>
    </w:p>
  </w:footnote>
  <w:footnote w:type="continuationSeparator" w:id="0">
    <w:p w:rsidR="009B04BB" w:rsidRDefault="009B04BB" w:rsidP="00471423">
      <w:pPr>
        <w:spacing w:after="0" w:line="240" w:lineRule="auto"/>
      </w:pPr>
      <w:r>
        <w:continuationSeparator/>
      </w:r>
    </w:p>
  </w:footnote>
  <w:footnote w:id="1">
    <w:p w:rsidR="009D2E46" w:rsidRPr="0071006D" w:rsidRDefault="009D2E46"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00AD6615" w:rsidRPr="0071006D">
        <w:rPr>
          <w:rFonts w:ascii="Arial" w:hAnsi="Arial" w:cs="Arial"/>
        </w:rPr>
        <w:t xml:space="preserve">Projekt </w:t>
      </w:r>
      <w:r w:rsidRPr="0071006D">
        <w:rPr>
          <w:rFonts w:ascii="Arial" w:hAnsi="Arial" w:cs="Arial"/>
          <w:i/>
        </w:rPr>
        <w:t>Wytyc</w:t>
      </w:r>
      <w:r w:rsidR="00AD6615" w:rsidRPr="0071006D">
        <w:rPr>
          <w:rFonts w:ascii="Arial" w:hAnsi="Arial" w:cs="Arial"/>
          <w:i/>
        </w:rPr>
        <w:t>znych</w:t>
      </w:r>
      <w:r w:rsidRPr="0071006D">
        <w:rPr>
          <w:rFonts w:ascii="Arial" w:hAnsi="Arial" w:cs="Arial"/>
          <w:i/>
        </w:rPr>
        <w:t xml:space="preserve"> </w:t>
      </w:r>
      <w:r w:rsidR="00AD6615" w:rsidRPr="0071006D">
        <w:rPr>
          <w:rFonts w:ascii="Arial" w:hAnsi="Arial" w:cs="Arial"/>
          <w:i/>
        </w:rPr>
        <w:t>dotyczących</w:t>
      </w:r>
      <w:r w:rsidRPr="0071006D">
        <w:rPr>
          <w:rFonts w:ascii="Arial" w:hAnsi="Arial" w:cs="Arial"/>
          <w:i/>
        </w:rPr>
        <w:t xml:space="preserve"> realizacji projektów z udziałem środków Europejskiego Funduszu Społecznego Plus w regionalnych programach na lata 2021-2027 – projekt do konsultacji </w:t>
      </w:r>
      <w:r w:rsidRPr="0071006D">
        <w:rPr>
          <w:rFonts w:ascii="Arial" w:hAnsi="Arial" w:cs="Arial"/>
        </w:rPr>
        <w:t>zewnętrznych, s. 7.</w:t>
      </w:r>
    </w:p>
  </w:footnote>
  <w:footnote w:id="2">
    <w:p w:rsidR="004A0144" w:rsidRPr="0071006D" w:rsidRDefault="004A0144" w:rsidP="009E342F">
      <w:pPr>
        <w:pStyle w:val="Tekstprzypisudolnego"/>
        <w:rPr>
          <w:rFonts w:ascii="Arial" w:hAnsi="Arial" w:cs="Arial"/>
        </w:rPr>
      </w:pPr>
      <w:r w:rsidRPr="0071006D">
        <w:rPr>
          <w:rStyle w:val="Odwoanieprzypisudolnego"/>
          <w:rFonts w:ascii="Arial" w:hAnsi="Arial" w:cs="Arial"/>
        </w:rPr>
        <w:footnoteRef/>
      </w:r>
      <w:r w:rsidR="00656EC9" w:rsidRPr="0071006D">
        <w:rPr>
          <w:rFonts w:ascii="Arial" w:hAnsi="Arial" w:cs="Arial"/>
        </w:rPr>
        <w:t xml:space="preserve"> tamże</w:t>
      </w:r>
      <w:r w:rsidR="00AD6615" w:rsidRPr="0071006D">
        <w:rPr>
          <w:rFonts w:ascii="Arial" w:hAnsi="Arial" w:cs="Arial"/>
        </w:rPr>
        <w:t xml:space="preserve">, s. </w:t>
      </w:r>
      <w:r w:rsidR="000A79A9" w:rsidRPr="0071006D">
        <w:rPr>
          <w:rFonts w:ascii="Arial" w:hAnsi="Arial" w:cs="Arial"/>
        </w:rPr>
        <w:t>1</w:t>
      </w:r>
      <w:r w:rsidR="00AD6615" w:rsidRPr="0071006D">
        <w:rPr>
          <w:rFonts w:ascii="Arial" w:hAnsi="Arial" w:cs="Arial"/>
        </w:rPr>
        <w:t>7</w:t>
      </w:r>
      <w:r w:rsidR="00AD6615" w:rsidRPr="0071006D">
        <w:rPr>
          <w:rFonts w:ascii="Arial" w:hAnsi="Arial" w:cs="Arial"/>
          <w:i/>
        </w:rPr>
        <w:t>.</w:t>
      </w:r>
    </w:p>
  </w:footnote>
  <w:footnote w:id="3">
    <w:p w:rsidR="001D779B" w:rsidRPr="0071006D" w:rsidRDefault="001D779B">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Pr="0071006D">
        <w:rPr>
          <w:rFonts w:ascii="Arial" w:hAnsi="Arial" w:cs="Arial"/>
          <w:i/>
        </w:rPr>
        <w:t xml:space="preserve">Ocena potrzeb w zakresie rozwoju usług społecznych i infrastruktury społecznej w województwie </w:t>
      </w:r>
      <w:r w:rsidRPr="0071006D">
        <w:rPr>
          <w:rFonts w:ascii="Arial" w:hAnsi="Arial" w:cs="Arial"/>
        </w:rPr>
        <w:t>pomorskim, s.352.</w:t>
      </w:r>
    </w:p>
  </w:footnote>
  <w:footnote w:id="4">
    <w:p w:rsidR="005361DF" w:rsidRPr="0071006D" w:rsidRDefault="005361D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Pr="0071006D">
        <w:rPr>
          <w:rFonts w:ascii="Arial" w:hAnsi="Arial" w:cs="Arial"/>
          <w:i/>
        </w:rPr>
        <w:t>Ocena zasobów pomocy społecznej województwa pomorskiego za rok 2021</w:t>
      </w:r>
      <w:r w:rsidRPr="0071006D">
        <w:rPr>
          <w:rFonts w:ascii="Arial" w:hAnsi="Arial" w:cs="Arial"/>
        </w:rPr>
        <w:t>, s. 33.</w:t>
      </w:r>
    </w:p>
  </w:footnote>
  <w:footnote w:id="5">
    <w:p w:rsidR="008A5A3F" w:rsidRPr="0071006D" w:rsidRDefault="008A5A3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009810AD">
        <w:rPr>
          <w:rFonts w:ascii="Arial" w:hAnsi="Arial" w:cs="Arial"/>
        </w:rPr>
        <w:t>tamże</w:t>
      </w:r>
      <w:r w:rsidRPr="0071006D">
        <w:rPr>
          <w:rFonts w:ascii="Arial" w:hAnsi="Arial" w:cs="Arial"/>
          <w:i/>
        </w:rPr>
        <w:t xml:space="preserve">, </w:t>
      </w:r>
      <w:r w:rsidRPr="0071006D">
        <w:rPr>
          <w:rFonts w:ascii="Arial" w:hAnsi="Arial" w:cs="Arial"/>
        </w:rPr>
        <w:t xml:space="preserve">s. </w:t>
      </w:r>
      <w:r w:rsidR="009810AD">
        <w:rPr>
          <w:rFonts w:ascii="Arial" w:hAnsi="Arial" w:cs="Arial"/>
        </w:rPr>
        <w:t>43</w:t>
      </w:r>
      <w:r w:rsidRPr="0071006D">
        <w:rPr>
          <w:rFonts w:ascii="Arial" w:hAnsi="Arial" w:cs="Arial"/>
        </w:rPr>
        <w:t>.</w:t>
      </w:r>
    </w:p>
  </w:footnote>
  <w:footnote w:id="6">
    <w:p w:rsidR="00117707" w:rsidRPr="0071006D" w:rsidRDefault="00117707">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Dane PUW.</w:t>
      </w:r>
    </w:p>
  </w:footnote>
  <w:footnote w:id="7">
    <w:p w:rsidR="00264565" w:rsidRPr="0071006D" w:rsidRDefault="00264565"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Pr="0071006D">
        <w:rPr>
          <w:rFonts w:ascii="Arial" w:hAnsi="Arial" w:cs="Arial"/>
          <w:i/>
        </w:rPr>
        <w:t>Analiza stan</w:t>
      </w:r>
      <w:r w:rsidR="00BB1F87">
        <w:rPr>
          <w:rFonts w:ascii="Arial" w:hAnsi="Arial" w:cs="Arial"/>
          <w:i/>
        </w:rPr>
        <w:t xml:space="preserve">u i skuteczności </w:t>
      </w:r>
      <w:r w:rsidR="007E42D8">
        <w:rPr>
          <w:rFonts w:ascii="Arial" w:hAnsi="Arial" w:cs="Arial"/>
          <w:i/>
        </w:rPr>
        <w:t>pomocy społecznej 2021 r.,</w:t>
      </w:r>
      <w:r w:rsidR="007E42D8">
        <w:rPr>
          <w:rFonts w:ascii="Arial" w:hAnsi="Arial" w:cs="Arial"/>
        </w:rPr>
        <w:t xml:space="preserve"> Wydział Polityki Społecznej Pomorskiego Urzędu Wojewódzkiego</w:t>
      </w:r>
      <w:r w:rsidRPr="0071006D">
        <w:rPr>
          <w:rFonts w:ascii="Arial" w:hAnsi="Arial" w:cs="Arial"/>
          <w:i/>
        </w:rPr>
        <w:t xml:space="preserve">, </w:t>
      </w:r>
      <w:r w:rsidRPr="0071006D">
        <w:rPr>
          <w:rFonts w:ascii="Arial" w:hAnsi="Arial" w:cs="Arial"/>
        </w:rPr>
        <w:t xml:space="preserve">s. </w:t>
      </w:r>
      <w:r w:rsidR="00CC3697" w:rsidRPr="0071006D">
        <w:rPr>
          <w:rFonts w:ascii="Arial" w:hAnsi="Arial" w:cs="Arial"/>
        </w:rPr>
        <w:t>56</w:t>
      </w:r>
      <w:r w:rsidRPr="0071006D">
        <w:rPr>
          <w:rFonts w:ascii="Arial" w:hAnsi="Arial" w:cs="Arial"/>
        </w:rPr>
        <w:t>.</w:t>
      </w:r>
    </w:p>
  </w:footnote>
  <w:footnote w:id="8">
    <w:p w:rsidR="00081DB5" w:rsidRPr="0071006D" w:rsidRDefault="00081DB5"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008E7432" w:rsidRPr="0071006D">
        <w:rPr>
          <w:rFonts w:ascii="Arial" w:hAnsi="Arial" w:cs="Arial"/>
          <w:i/>
        </w:rPr>
        <w:t>Ocena zasobów pomoc</w:t>
      </w:r>
      <w:r w:rsidR="0071006D" w:rsidRPr="0071006D">
        <w:rPr>
          <w:rFonts w:ascii="Arial" w:hAnsi="Arial" w:cs="Arial"/>
          <w:i/>
        </w:rPr>
        <w:t>y</w:t>
      </w:r>
      <w:r w:rsidR="0071006D" w:rsidRPr="0071006D">
        <w:rPr>
          <w:rFonts w:ascii="Arial" w:hAnsi="Arial" w:cs="Arial"/>
        </w:rPr>
        <w:t>…, dz.</w:t>
      </w:r>
      <w:r w:rsidR="00476AFF">
        <w:rPr>
          <w:rFonts w:ascii="Arial" w:hAnsi="Arial" w:cs="Arial"/>
        </w:rPr>
        <w:t xml:space="preserve"> </w:t>
      </w:r>
      <w:r w:rsidR="0071006D" w:rsidRPr="0071006D">
        <w:rPr>
          <w:rFonts w:ascii="Arial" w:hAnsi="Arial" w:cs="Arial"/>
        </w:rPr>
        <w:t>cyt.</w:t>
      </w:r>
      <w:r w:rsidRPr="0071006D">
        <w:rPr>
          <w:rFonts w:ascii="Arial" w:hAnsi="Arial" w:cs="Arial"/>
          <w:i/>
        </w:rPr>
        <w:t xml:space="preserve">, </w:t>
      </w:r>
      <w:r w:rsidRPr="0071006D">
        <w:rPr>
          <w:rFonts w:ascii="Arial" w:hAnsi="Arial" w:cs="Arial"/>
        </w:rPr>
        <w:t xml:space="preserve">s. </w:t>
      </w:r>
      <w:r w:rsidR="00D85591" w:rsidRPr="0071006D">
        <w:rPr>
          <w:rFonts w:ascii="Arial" w:hAnsi="Arial" w:cs="Arial"/>
        </w:rPr>
        <w:t>44</w:t>
      </w:r>
      <w:r w:rsidRPr="0071006D">
        <w:rPr>
          <w:rFonts w:ascii="Arial" w:hAnsi="Arial" w:cs="Arial"/>
        </w:rPr>
        <w:t>.</w:t>
      </w:r>
    </w:p>
  </w:footnote>
  <w:footnote w:id="9">
    <w:p w:rsidR="007D2BFB" w:rsidRPr="0071006D" w:rsidRDefault="007D2BFB"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0071006D" w:rsidRPr="0071006D">
        <w:rPr>
          <w:rFonts w:ascii="Arial" w:hAnsi="Arial" w:cs="Arial"/>
        </w:rPr>
        <w:t>tamże</w:t>
      </w:r>
      <w:r w:rsidRPr="0071006D">
        <w:rPr>
          <w:rFonts w:ascii="Arial" w:hAnsi="Arial" w:cs="Arial"/>
        </w:rPr>
        <w:t>, s. 48.</w:t>
      </w:r>
    </w:p>
  </w:footnote>
  <w:footnote w:id="10">
    <w:p w:rsidR="007232C8" w:rsidRPr="0071006D" w:rsidRDefault="007232C8"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0071006D" w:rsidRPr="0071006D">
        <w:rPr>
          <w:rFonts w:ascii="Arial" w:hAnsi="Arial" w:cs="Arial"/>
        </w:rPr>
        <w:t xml:space="preserve">tamże, </w:t>
      </w:r>
      <w:r w:rsidRPr="0071006D">
        <w:rPr>
          <w:rFonts w:ascii="Arial" w:hAnsi="Arial" w:cs="Arial"/>
        </w:rPr>
        <w:t>s. 48.</w:t>
      </w:r>
    </w:p>
  </w:footnote>
  <w:footnote w:id="11">
    <w:p w:rsidR="005D15E3" w:rsidRPr="0071006D" w:rsidRDefault="005D15E3"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0071006D" w:rsidRPr="0071006D">
        <w:rPr>
          <w:rFonts w:ascii="Arial" w:hAnsi="Arial" w:cs="Arial"/>
        </w:rPr>
        <w:t>tamże</w:t>
      </w:r>
      <w:r w:rsidRPr="0071006D">
        <w:rPr>
          <w:rFonts w:ascii="Arial" w:hAnsi="Arial" w:cs="Arial"/>
        </w:rPr>
        <w:t>, s. 45.</w:t>
      </w:r>
    </w:p>
  </w:footnote>
  <w:footnote w:id="12">
    <w:p w:rsidR="00C10C0A" w:rsidRPr="0071006D" w:rsidRDefault="00C10C0A"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Pr="0071006D">
        <w:rPr>
          <w:rFonts w:ascii="Arial" w:hAnsi="Arial" w:cs="Arial"/>
          <w:i/>
        </w:rPr>
        <w:t>Analiza stan</w:t>
      </w:r>
      <w:r w:rsidR="0071006D" w:rsidRPr="0071006D">
        <w:rPr>
          <w:rFonts w:ascii="Arial" w:hAnsi="Arial" w:cs="Arial"/>
          <w:i/>
        </w:rPr>
        <w:t>u</w:t>
      </w:r>
      <w:r w:rsidR="0071006D" w:rsidRPr="0071006D">
        <w:rPr>
          <w:rFonts w:ascii="Arial" w:hAnsi="Arial" w:cs="Arial"/>
        </w:rPr>
        <w:t>…, dz. cyt.</w:t>
      </w:r>
      <w:r w:rsidRPr="0071006D">
        <w:rPr>
          <w:rFonts w:ascii="Arial" w:hAnsi="Arial" w:cs="Arial"/>
        </w:rPr>
        <w:t>, s. 59.</w:t>
      </w:r>
    </w:p>
  </w:footnote>
  <w:footnote w:id="13">
    <w:p w:rsidR="001D6023" w:rsidRPr="0071006D" w:rsidRDefault="001D6023"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Zalicza się do nich zasiłki pielęgnacyjne, świadczenie pielęgnacyjne oraz specjalny zasiłek opiekuńczy.</w:t>
      </w:r>
    </w:p>
  </w:footnote>
  <w:footnote w:id="14">
    <w:p w:rsidR="00DD1C1B" w:rsidRPr="0071006D" w:rsidRDefault="00DD1C1B"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Pr="0071006D">
        <w:rPr>
          <w:rFonts w:ascii="Arial" w:hAnsi="Arial" w:cs="Arial"/>
          <w:i/>
        </w:rPr>
        <w:t>Ocena zasobów pomocy</w:t>
      </w:r>
      <w:r w:rsidR="0071006D" w:rsidRPr="0071006D">
        <w:rPr>
          <w:rFonts w:ascii="Arial" w:hAnsi="Arial" w:cs="Arial"/>
        </w:rPr>
        <w:t>…, dz. cyt.</w:t>
      </w:r>
      <w:r w:rsidRPr="0071006D">
        <w:rPr>
          <w:rFonts w:ascii="Arial" w:hAnsi="Arial" w:cs="Arial"/>
        </w:rPr>
        <w:t>, s. 57.</w:t>
      </w:r>
    </w:p>
  </w:footnote>
  <w:footnote w:id="15">
    <w:p w:rsidR="00226EB7" w:rsidRPr="0071006D" w:rsidRDefault="00226EB7">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Pr="0071006D">
        <w:rPr>
          <w:rFonts w:ascii="Arial" w:hAnsi="Arial" w:cs="Arial"/>
          <w:i/>
        </w:rPr>
        <w:t>Ocena potrzeb</w:t>
      </w:r>
      <w:r w:rsidR="0071006D" w:rsidRPr="0071006D">
        <w:rPr>
          <w:rFonts w:ascii="Arial" w:hAnsi="Arial" w:cs="Arial"/>
        </w:rPr>
        <w:t>…, dz. cyt.</w:t>
      </w:r>
      <w:r w:rsidRPr="0071006D">
        <w:rPr>
          <w:rFonts w:ascii="Arial" w:hAnsi="Arial" w:cs="Arial"/>
        </w:rPr>
        <w:t>, s.</w:t>
      </w:r>
      <w:r w:rsidR="0071006D" w:rsidRPr="0071006D">
        <w:rPr>
          <w:rFonts w:ascii="Arial" w:hAnsi="Arial" w:cs="Arial"/>
        </w:rPr>
        <w:t xml:space="preserve"> </w:t>
      </w:r>
      <w:r w:rsidRPr="0071006D">
        <w:rPr>
          <w:rFonts w:ascii="Arial" w:hAnsi="Arial" w:cs="Arial"/>
        </w:rPr>
        <w:t>292–296.</w:t>
      </w:r>
    </w:p>
  </w:footnote>
  <w:footnote w:id="16">
    <w:p w:rsidR="00A063F6" w:rsidRPr="008D0D21" w:rsidRDefault="00A063F6" w:rsidP="008D0D21">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 jednej rodzinie może wystąpić więcej niż jedna przyczyna przyznania pomocy</w:t>
      </w:r>
      <w:r w:rsidR="00D65505" w:rsidRPr="0071006D">
        <w:rPr>
          <w:rFonts w:ascii="Arial" w:hAnsi="Arial" w:cs="Arial"/>
        </w:rPr>
        <w:t xml:space="preserve">. Wówczas </w:t>
      </w:r>
      <w:r w:rsidR="00D65505" w:rsidRPr="008D0D21">
        <w:rPr>
          <w:rFonts w:ascii="Arial" w:hAnsi="Arial" w:cs="Arial"/>
        </w:rPr>
        <w:t>w</w:t>
      </w:r>
      <w:r w:rsidR="00E51F38" w:rsidRPr="008D0D21">
        <w:rPr>
          <w:rFonts w:ascii="Arial" w:hAnsi="Arial" w:cs="Arial"/>
        </w:rPr>
        <w:t> </w:t>
      </w:r>
      <w:r w:rsidR="00D65505" w:rsidRPr="008D0D21">
        <w:rPr>
          <w:rFonts w:ascii="Arial" w:hAnsi="Arial" w:cs="Arial"/>
        </w:rPr>
        <w:t>sprawozdaniu wykazuje się ją kilka razy.</w:t>
      </w:r>
    </w:p>
  </w:footnote>
  <w:footnote w:id="17">
    <w:p w:rsidR="00A063F6" w:rsidRPr="008D0D21" w:rsidRDefault="00A063F6" w:rsidP="008D0D21">
      <w:pPr>
        <w:pStyle w:val="Tekstprzypisudolnego"/>
        <w:rPr>
          <w:rFonts w:ascii="Arial" w:hAnsi="Arial" w:cs="Arial"/>
        </w:rPr>
      </w:pPr>
      <w:r w:rsidRPr="008D0D21">
        <w:rPr>
          <w:rStyle w:val="Odwoanieprzypisudolnego"/>
          <w:rFonts w:ascii="Arial" w:hAnsi="Arial" w:cs="Arial"/>
        </w:rPr>
        <w:footnoteRef/>
      </w:r>
      <w:r w:rsidRPr="008D0D21">
        <w:rPr>
          <w:rFonts w:ascii="Arial" w:hAnsi="Arial" w:cs="Arial"/>
        </w:rPr>
        <w:t xml:space="preserve"> Dane BDL GUS.</w:t>
      </w:r>
    </w:p>
  </w:footnote>
  <w:footnote w:id="18">
    <w:p w:rsidR="007D7ABC" w:rsidRPr="008D0D21" w:rsidRDefault="007D7ABC" w:rsidP="008D0D21">
      <w:pPr>
        <w:pStyle w:val="Tekstprzypisudolnego"/>
        <w:rPr>
          <w:rFonts w:ascii="Arial" w:hAnsi="Arial" w:cs="Arial"/>
        </w:rPr>
      </w:pPr>
      <w:r w:rsidRPr="008D0D21">
        <w:rPr>
          <w:rStyle w:val="Odwoanieprzypisudolnego"/>
          <w:rFonts w:ascii="Arial" w:hAnsi="Arial" w:cs="Arial"/>
        </w:rPr>
        <w:footnoteRef/>
      </w:r>
      <w:r w:rsidRPr="008D0D21">
        <w:rPr>
          <w:rFonts w:ascii="Arial" w:hAnsi="Arial" w:cs="Arial"/>
        </w:rPr>
        <w:t xml:space="preserve"> </w:t>
      </w:r>
      <w:r w:rsidR="0071006D" w:rsidRPr="008D0D21">
        <w:rPr>
          <w:rFonts w:ascii="Arial" w:hAnsi="Arial" w:cs="Arial"/>
        </w:rPr>
        <w:t>tamże</w:t>
      </w:r>
      <w:r w:rsidRPr="008D0D21">
        <w:rPr>
          <w:rFonts w:ascii="Arial" w:hAnsi="Arial" w:cs="Arial"/>
        </w:rPr>
        <w:t>.</w:t>
      </w:r>
    </w:p>
  </w:footnote>
  <w:footnote w:id="19">
    <w:p w:rsidR="00387D04" w:rsidRPr="008D0D21" w:rsidRDefault="00387D04" w:rsidP="008D0D21">
      <w:pPr>
        <w:pStyle w:val="Tekstprzypisudolnego"/>
        <w:rPr>
          <w:rFonts w:ascii="Arial" w:hAnsi="Arial" w:cs="Arial"/>
        </w:rPr>
      </w:pPr>
      <w:r w:rsidRPr="008D0D21">
        <w:rPr>
          <w:rStyle w:val="Odwoanieprzypisudolnego"/>
          <w:rFonts w:ascii="Arial" w:hAnsi="Arial" w:cs="Arial"/>
        </w:rPr>
        <w:footnoteRef/>
      </w:r>
      <w:r w:rsidRPr="008D0D21">
        <w:rPr>
          <w:rFonts w:ascii="Arial" w:hAnsi="Arial" w:cs="Arial"/>
        </w:rPr>
        <w:t xml:space="preserve"> Dane za kolejne lata nie zostały udostępnione.</w:t>
      </w:r>
    </w:p>
  </w:footnote>
  <w:footnote w:id="20">
    <w:p w:rsidR="00387D04" w:rsidRPr="008D0D21" w:rsidRDefault="00387D04" w:rsidP="008D0D21">
      <w:pPr>
        <w:pStyle w:val="Tekstprzypisudolnego"/>
        <w:rPr>
          <w:rFonts w:ascii="Arial" w:hAnsi="Arial" w:cs="Arial"/>
        </w:rPr>
      </w:pPr>
      <w:r w:rsidRPr="008D0D21">
        <w:rPr>
          <w:rStyle w:val="Odwoanieprzypisudolnego"/>
          <w:rFonts w:ascii="Arial" w:hAnsi="Arial" w:cs="Arial"/>
        </w:rPr>
        <w:footnoteRef/>
      </w:r>
      <w:r w:rsidRPr="008D0D21">
        <w:rPr>
          <w:rFonts w:ascii="Arial" w:hAnsi="Arial" w:cs="Arial"/>
        </w:rPr>
        <w:t xml:space="preserve"> </w:t>
      </w:r>
      <w:r w:rsidRPr="008D0D21">
        <w:rPr>
          <w:rFonts w:ascii="Arial" w:hAnsi="Arial" w:cs="Arial"/>
          <w:i/>
        </w:rPr>
        <w:t>Przestrzenne zróżnicowanie współczynników częstości orzekania o niezdolności do pracy w 2018 r.</w:t>
      </w:r>
      <w:r w:rsidRPr="008D0D21">
        <w:rPr>
          <w:rFonts w:ascii="Arial" w:hAnsi="Arial" w:cs="Arial"/>
        </w:rPr>
        <w:t>, Departament Statystyki i Prognoz Aktuarialnych, Zakład Ubezpieczeń Społecznych, s. 5–6.</w:t>
      </w:r>
    </w:p>
  </w:footnote>
  <w:footnote w:id="21">
    <w:p w:rsidR="00765C5C" w:rsidRPr="008D0D21" w:rsidRDefault="00765C5C" w:rsidP="008D0D21">
      <w:pPr>
        <w:pStyle w:val="Tekstprzypisudolnego"/>
        <w:rPr>
          <w:rFonts w:ascii="Arial" w:hAnsi="Arial" w:cs="Arial"/>
        </w:rPr>
      </w:pPr>
      <w:r w:rsidRPr="008D0D21">
        <w:rPr>
          <w:rStyle w:val="Odwoanieprzypisudolnego"/>
          <w:rFonts w:ascii="Arial" w:hAnsi="Arial" w:cs="Arial"/>
        </w:rPr>
        <w:footnoteRef/>
      </w:r>
      <w:r w:rsidRPr="008D0D21">
        <w:rPr>
          <w:rFonts w:ascii="Arial" w:hAnsi="Arial" w:cs="Arial"/>
        </w:rPr>
        <w:t xml:space="preserve"> </w:t>
      </w:r>
      <w:r w:rsidRPr="008D0D21">
        <w:rPr>
          <w:rFonts w:ascii="Arial" w:hAnsi="Arial" w:cs="Arial"/>
          <w:i/>
        </w:rPr>
        <w:t>Orzeczenia lekarzy orzeczników ZUS o niezdolności do pracy wydane w 2020 roku</w:t>
      </w:r>
      <w:r w:rsidR="0030515D" w:rsidRPr="008D0D21">
        <w:rPr>
          <w:rFonts w:ascii="Arial" w:hAnsi="Arial" w:cs="Arial"/>
        </w:rPr>
        <w:t>,</w:t>
      </w:r>
      <w:r w:rsidR="0030515D" w:rsidRPr="008D0D21">
        <w:rPr>
          <w:rFonts w:ascii="Arial" w:hAnsi="Arial" w:cs="Arial"/>
          <w:i/>
        </w:rPr>
        <w:t xml:space="preserve"> Orzeczenia lekarzy orzeczników ZUS o niezdolności do pracy wydane w 2021 roku</w:t>
      </w:r>
      <w:r w:rsidR="0030515D" w:rsidRPr="008D0D21">
        <w:rPr>
          <w:rFonts w:ascii="Arial" w:hAnsi="Arial" w:cs="Arial"/>
        </w:rPr>
        <w:t>, Departament Statystyki i Prognoz Aktuarialnych, Zakład Ubezpieczeń Społecznych.</w:t>
      </w:r>
    </w:p>
  </w:footnote>
  <w:footnote w:id="22">
    <w:p w:rsidR="00274FDB" w:rsidRPr="00387D04" w:rsidRDefault="00274FDB" w:rsidP="00274FDB">
      <w:pPr>
        <w:pStyle w:val="Tekstprzypisudolnego"/>
        <w:rPr>
          <w:rFonts w:ascii="Arial" w:hAnsi="Arial" w:cs="Arial"/>
        </w:rPr>
      </w:pPr>
      <w:r w:rsidRPr="00387D04">
        <w:rPr>
          <w:rStyle w:val="Odwoanieprzypisudolnego"/>
          <w:rFonts w:ascii="Arial" w:hAnsi="Arial" w:cs="Arial"/>
        </w:rPr>
        <w:footnoteRef/>
      </w:r>
      <w:r w:rsidRPr="00387D04">
        <w:rPr>
          <w:rFonts w:ascii="Arial" w:hAnsi="Arial" w:cs="Arial"/>
        </w:rPr>
        <w:t xml:space="preserve"> Renta socjalna przysługuje osobie pełnoletniej całkowicie niezdolnej do pracy, której niezdolność powstała przed ukończeniem 18 r. ż., posiadającej stosowne orzeczenie.</w:t>
      </w:r>
    </w:p>
  </w:footnote>
  <w:footnote w:id="23">
    <w:p w:rsidR="00274FDB" w:rsidRPr="00387D04" w:rsidRDefault="00274FDB" w:rsidP="00274FDB">
      <w:pPr>
        <w:pStyle w:val="Tekstprzypisudolnego"/>
        <w:rPr>
          <w:rFonts w:ascii="Arial" w:hAnsi="Arial" w:cs="Arial"/>
          <w:i/>
        </w:rPr>
      </w:pPr>
      <w:r w:rsidRPr="00387D04">
        <w:rPr>
          <w:rStyle w:val="Odwoanieprzypisudolnego"/>
          <w:rFonts w:ascii="Arial" w:hAnsi="Arial" w:cs="Arial"/>
        </w:rPr>
        <w:footnoteRef/>
      </w:r>
      <w:r w:rsidRPr="00387D04">
        <w:rPr>
          <w:rFonts w:ascii="Arial" w:hAnsi="Arial" w:cs="Arial"/>
        </w:rPr>
        <w:t xml:space="preserve"> </w:t>
      </w:r>
      <w:r w:rsidRPr="00387D04">
        <w:rPr>
          <w:rFonts w:ascii="Arial" w:hAnsi="Arial" w:cs="Arial"/>
          <w:i/>
        </w:rPr>
        <w:t>Informacja o wybranych świadczeniach pieniężnych – grudzień 2021 r.; Informacja o wybranych świadczeniach pieniężnych – wrzesień 2022 r.</w:t>
      </w:r>
    </w:p>
  </w:footnote>
  <w:footnote w:id="24">
    <w:p w:rsidR="0072057C" w:rsidRPr="0020767B" w:rsidRDefault="0072057C">
      <w:pPr>
        <w:pStyle w:val="Tekstprzypisudolnego"/>
        <w:rPr>
          <w:rFonts w:ascii="Arial" w:hAnsi="Arial" w:cs="Arial"/>
        </w:rPr>
      </w:pPr>
      <w:r w:rsidRPr="0020767B">
        <w:rPr>
          <w:rStyle w:val="Odwoanieprzypisudolnego"/>
          <w:rFonts w:ascii="Arial" w:hAnsi="Arial" w:cs="Arial"/>
        </w:rPr>
        <w:footnoteRef/>
      </w:r>
      <w:r w:rsidRPr="0020767B">
        <w:rPr>
          <w:rFonts w:ascii="Arial" w:hAnsi="Arial" w:cs="Arial"/>
        </w:rPr>
        <w:t xml:space="preserve"> </w:t>
      </w:r>
      <w:r w:rsidRPr="0020767B">
        <w:rPr>
          <w:rFonts w:ascii="Arial" w:hAnsi="Arial" w:cs="Arial"/>
          <w:i/>
        </w:rPr>
        <w:t xml:space="preserve">500+ świadczenie uzupełniające dla osób niezdolnych do samodzielnej </w:t>
      </w:r>
      <w:r w:rsidRPr="0020767B">
        <w:rPr>
          <w:rFonts w:ascii="Arial" w:hAnsi="Arial" w:cs="Arial"/>
        </w:rPr>
        <w:t>egzystencji, dostępny: https://www.zus.pl/-/500-swiadczenie-uzupelniajace-dla-osob-niezdolnych-do-samodzielnej-egzystencji, dostęp: 14.02.2023 r.</w:t>
      </w:r>
    </w:p>
  </w:footnote>
  <w:footnote w:id="25">
    <w:p w:rsidR="00D5575D" w:rsidRPr="0020767B" w:rsidRDefault="00D5575D">
      <w:pPr>
        <w:pStyle w:val="Tekstprzypisudolnego"/>
        <w:rPr>
          <w:rFonts w:ascii="Arial" w:hAnsi="Arial" w:cs="Arial"/>
        </w:rPr>
      </w:pPr>
      <w:r w:rsidRPr="0020767B">
        <w:rPr>
          <w:rStyle w:val="Odwoanieprzypisudolnego"/>
          <w:rFonts w:ascii="Arial" w:hAnsi="Arial" w:cs="Arial"/>
        </w:rPr>
        <w:footnoteRef/>
      </w:r>
      <w:r w:rsidRPr="0020767B">
        <w:rPr>
          <w:rFonts w:ascii="Arial" w:hAnsi="Arial" w:cs="Arial"/>
        </w:rPr>
        <w:t xml:space="preserve"> </w:t>
      </w:r>
      <w:r w:rsidR="00FF4E5A" w:rsidRPr="0020767B">
        <w:rPr>
          <w:rFonts w:ascii="Arial" w:hAnsi="Arial" w:cs="Arial"/>
        </w:rPr>
        <w:t>tamże.</w:t>
      </w:r>
    </w:p>
  </w:footnote>
  <w:footnote w:id="26">
    <w:p w:rsidR="00D83549" w:rsidRPr="0071006D" w:rsidRDefault="00D83549"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Zgodnie z zapisami Ustawy o pomocy społecznej (t.</w:t>
      </w:r>
      <w:r w:rsidR="00C9398A" w:rsidRPr="0071006D">
        <w:rPr>
          <w:rFonts w:ascii="Arial" w:hAnsi="Arial" w:cs="Arial"/>
        </w:rPr>
        <w:t xml:space="preserve"> </w:t>
      </w:r>
      <w:r w:rsidRPr="0071006D">
        <w:rPr>
          <w:rFonts w:ascii="Arial" w:hAnsi="Arial" w:cs="Arial"/>
        </w:rPr>
        <w:t xml:space="preserve">j. Dz.U. </w:t>
      </w:r>
      <w:r w:rsidR="002E6F52" w:rsidRPr="0071006D">
        <w:rPr>
          <w:rFonts w:ascii="Arial" w:hAnsi="Arial" w:cs="Arial"/>
        </w:rPr>
        <w:t>z 2021 r. poz. 2268 z późn. zm.</w:t>
      </w:r>
      <w:r w:rsidRPr="0071006D">
        <w:rPr>
          <w:rFonts w:ascii="Arial" w:hAnsi="Arial" w:cs="Arial"/>
        </w:rPr>
        <w:t xml:space="preserve">) </w:t>
      </w:r>
      <w:r w:rsidR="00C9398A" w:rsidRPr="0071006D">
        <w:rPr>
          <w:rFonts w:ascii="Arial" w:hAnsi="Arial" w:cs="Arial"/>
        </w:rPr>
        <w:t>mieszkanie chronione dedykowane jest osobom, które ze względu na trudną sytuację życiową, wiek, niepełnosprawność lub chorobę potrzebują wsparcia w życiu codziennym. Mieszkanie chronione treningowe jest prowadzone w celu umożliwienia samodzielnego życia, natomiast mieszkanie chronione wspierane – w celu utrzymania lub rozwijania samodzielności osoby na poziomie jej psychofizycznych możliwości.</w:t>
      </w:r>
    </w:p>
  </w:footnote>
  <w:footnote w:id="27">
    <w:p w:rsidR="00334D70" w:rsidRPr="0071006D" w:rsidRDefault="00334D70">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00C5517E" w:rsidRPr="0071006D">
        <w:rPr>
          <w:rFonts w:ascii="Arial" w:hAnsi="Arial" w:cs="Arial"/>
          <w:i/>
        </w:rPr>
        <w:t>Ocena zasobów pomocy</w:t>
      </w:r>
      <w:r w:rsidR="0071006D" w:rsidRPr="0071006D">
        <w:rPr>
          <w:rFonts w:ascii="Arial" w:hAnsi="Arial" w:cs="Arial"/>
        </w:rPr>
        <w:t>…, dz. cyt.</w:t>
      </w:r>
      <w:r w:rsidR="00C5517E" w:rsidRPr="0071006D">
        <w:rPr>
          <w:rFonts w:ascii="Arial" w:hAnsi="Arial" w:cs="Arial"/>
        </w:rPr>
        <w:t>, s. 16.</w:t>
      </w:r>
    </w:p>
  </w:footnote>
  <w:footnote w:id="28">
    <w:p w:rsidR="00054EDF" w:rsidRPr="0071006D" w:rsidRDefault="00054EDF"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Pr="0071006D">
        <w:rPr>
          <w:rFonts w:ascii="Arial" w:hAnsi="Arial" w:cs="Arial"/>
          <w:i/>
        </w:rPr>
        <w:t>Analiza stanu</w:t>
      </w:r>
      <w:r w:rsidR="0071006D" w:rsidRPr="0071006D">
        <w:rPr>
          <w:rFonts w:ascii="Arial" w:hAnsi="Arial" w:cs="Arial"/>
          <w:i/>
        </w:rPr>
        <w:t>…</w:t>
      </w:r>
      <w:r w:rsidR="0071006D" w:rsidRPr="0071006D">
        <w:rPr>
          <w:rFonts w:ascii="Arial" w:hAnsi="Arial" w:cs="Arial"/>
        </w:rPr>
        <w:t>, dz. cyt.</w:t>
      </w:r>
      <w:r w:rsidRPr="0071006D">
        <w:rPr>
          <w:rFonts w:ascii="Arial" w:hAnsi="Arial" w:cs="Arial"/>
        </w:rPr>
        <w:t>, s. 70.</w:t>
      </w:r>
    </w:p>
  </w:footnote>
  <w:footnote w:id="29">
    <w:p w:rsidR="0040318B" w:rsidRPr="0071006D" w:rsidRDefault="0040318B"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0071006D" w:rsidRPr="0071006D">
        <w:rPr>
          <w:rFonts w:ascii="Arial" w:hAnsi="Arial" w:cs="Arial"/>
        </w:rPr>
        <w:t>tamże,</w:t>
      </w:r>
      <w:r w:rsidR="000B5D4C" w:rsidRPr="0071006D">
        <w:rPr>
          <w:rFonts w:ascii="Arial" w:hAnsi="Arial" w:cs="Arial"/>
        </w:rPr>
        <w:t xml:space="preserve"> </w:t>
      </w:r>
      <w:r w:rsidRPr="0071006D">
        <w:rPr>
          <w:rFonts w:ascii="Arial" w:hAnsi="Arial" w:cs="Arial"/>
        </w:rPr>
        <w:t>s. 68.</w:t>
      </w:r>
    </w:p>
  </w:footnote>
  <w:footnote w:id="30">
    <w:p w:rsidR="00D87049" w:rsidRPr="0071006D" w:rsidRDefault="00D87049" w:rsidP="00D87049">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Pr="0071006D">
        <w:rPr>
          <w:rFonts w:ascii="Arial" w:hAnsi="Arial" w:cs="Arial"/>
          <w:i/>
        </w:rPr>
        <w:t>Ocena potrzeb</w:t>
      </w:r>
      <w:r w:rsidR="0071006D" w:rsidRPr="0071006D">
        <w:rPr>
          <w:rFonts w:ascii="Arial" w:hAnsi="Arial" w:cs="Arial"/>
        </w:rPr>
        <w:t>…, dz. cyt.,</w:t>
      </w:r>
      <w:r w:rsidRPr="0071006D">
        <w:rPr>
          <w:rFonts w:ascii="Arial" w:hAnsi="Arial" w:cs="Arial"/>
        </w:rPr>
        <w:t xml:space="preserve"> s.149–150.</w:t>
      </w:r>
    </w:p>
  </w:footnote>
  <w:footnote w:id="31">
    <w:p w:rsidR="0035103C" w:rsidRPr="0020767B" w:rsidRDefault="0035103C" w:rsidP="009E342F">
      <w:pPr>
        <w:pStyle w:val="Tekstprzypisudolnego"/>
        <w:rPr>
          <w:rFonts w:ascii="Arial" w:hAnsi="Arial" w:cs="Arial"/>
        </w:rPr>
      </w:pPr>
      <w:r w:rsidRPr="0020767B">
        <w:rPr>
          <w:rStyle w:val="Odwoanieprzypisudolnego"/>
          <w:rFonts w:ascii="Arial" w:hAnsi="Arial" w:cs="Arial"/>
        </w:rPr>
        <w:footnoteRef/>
      </w:r>
      <w:r w:rsidRPr="0020767B">
        <w:rPr>
          <w:rFonts w:ascii="Arial" w:hAnsi="Arial" w:cs="Arial"/>
        </w:rPr>
        <w:t xml:space="preserve"> </w:t>
      </w:r>
      <w:r w:rsidRPr="0020767B">
        <w:rPr>
          <w:rFonts w:ascii="Arial" w:hAnsi="Arial" w:cs="Arial"/>
          <w:i/>
        </w:rPr>
        <w:t>Mental disorders</w:t>
      </w:r>
      <w:r w:rsidRPr="0020767B">
        <w:rPr>
          <w:rFonts w:ascii="Arial" w:hAnsi="Arial" w:cs="Arial"/>
        </w:rPr>
        <w:t>, WHO, dostępny: https://www.who.int/news-room/fact-sheets/detail/mental-disorders, dostęp: 14.11.2022</w:t>
      </w:r>
      <w:r w:rsidR="000A2918" w:rsidRPr="0020767B">
        <w:rPr>
          <w:rFonts w:ascii="Arial" w:hAnsi="Arial" w:cs="Arial"/>
        </w:rPr>
        <w:t xml:space="preserve"> </w:t>
      </w:r>
      <w:r w:rsidRPr="0020767B">
        <w:rPr>
          <w:rFonts w:ascii="Arial" w:hAnsi="Arial" w:cs="Arial"/>
        </w:rPr>
        <w:t>r.</w:t>
      </w:r>
    </w:p>
  </w:footnote>
  <w:footnote w:id="32">
    <w:p w:rsidR="008C44AF" w:rsidRPr="00F87035" w:rsidRDefault="008C44AF" w:rsidP="008C44AF">
      <w:pPr>
        <w:pStyle w:val="Tekstprzypisudolnego"/>
        <w:rPr>
          <w:rFonts w:ascii="Arial" w:hAnsi="Arial" w:cs="Arial"/>
          <w:color w:val="0070C0"/>
        </w:rPr>
      </w:pPr>
      <w:r w:rsidRPr="0071006D">
        <w:rPr>
          <w:rStyle w:val="Odwoanieprzypisudolnego"/>
          <w:rFonts w:ascii="Arial" w:hAnsi="Arial" w:cs="Arial"/>
        </w:rPr>
        <w:footnoteRef/>
      </w:r>
      <w:r w:rsidRPr="0071006D">
        <w:rPr>
          <w:rFonts w:ascii="Arial" w:hAnsi="Arial" w:cs="Arial"/>
        </w:rPr>
        <w:t xml:space="preserve"> Źródło: https://statystyka.policja.pl/st/wybrane-statystyki/zamachy-samobojcze/63803,Zamachy-samobojcze-od-2017-roku.html, </w:t>
      </w:r>
      <w:r w:rsidRPr="007D64CC">
        <w:rPr>
          <w:rFonts w:ascii="Arial" w:hAnsi="Arial" w:cs="Arial"/>
        </w:rPr>
        <w:t>Komenda Główna Policji</w:t>
      </w:r>
    </w:p>
  </w:footnote>
  <w:footnote w:id="33">
    <w:p w:rsidR="0042311F" w:rsidRPr="002217C9" w:rsidRDefault="0042311F" w:rsidP="009E342F">
      <w:pPr>
        <w:pStyle w:val="Tekstprzypisudolnego"/>
        <w:rPr>
          <w:rFonts w:ascii="Arial" w:hAnsi="Arial" w:cs="Arial"/>
        </w:rPr>
      </w:pPr>
      <w:r w:rsidRPr="002217C9">
        <w:rPr>
          <w:rStyle w:val="Odwoanieprzypisudolnego"/>
          <w:rFonts w:ascii="Arial" w:hAnsi="Arial" w:cs="Arial"/>
        </w:rPr>
        <w:footnoteRef/>
      </w:r>
      <w:r w:rsidRPr="002217C9">
        <w:rPr>
          <w:rFonts w:ascii="Arial" w:hAnsi="Arial" w:cs="Arial"/>
        </w:rPr>
        <w:t xml:space="preserve"> BDL GUS, dostęp: 07.11.2022 r.; dane za 2021 r. są niedostępne.</w:t>
      </w:r>
    </w:p>
  </w:footnote>
  <w:footnote w:id="34">
    <w:p w:rsidR="00CC5516" w:rsidRPr="002217C9" w:rsidRDefault="00CC5516" w:rsidP="009E342F">
      <w:pPr>
        <w:pStyle w:val="Tekstprzypisudolnego"/>
        <w:rPr>
          <w:rFonts w:ascii="Arial" w:hAnsi="Arial" w:cs="Arial"/>
          <w:i/>
        </w:rPr>
      </w:pPr>
      <w:r w:rsidRPr="002217C9">
        <w:rPr>
          <w:rStyle w:val="Odwoanieprzypisudolnego"/>
          <w:rFonts w:ascii="Arial" w:hAnsi="Arial" w:cs="Arial"/>
        </w:rPr>
        <w:footnoteRef/>
      </w:r>
      <w:r w:rsidRPr="002217C9">
        <w:rPr>
          <w:rFonts w:ascii="Arial" w:hAnsi="Arial" w:cs="Arial"/>
        </w:rPr>
        <w:t xml:space="preserve"> </w:t>
      </w:r>
      <w:r w:rsidR="00D434D6" w:rsidRPr="002217C9">
        <w:rPr>
          <w:rFonts w:ascii="Arial" w:hAnsi="Arial" w:cs="Arial"/>
          <w:i/>
        </w:rPr>
        <w:t>Ocena zasobów pomocy</w:t>
      </w:r>
      <w:r w:rsidR="0071006D" w:rsidRPr="002217C9">
        <w:rPr>
          <w:rFonts w:ascii="Arial" w:hAnsi="Arial" w:cs="Arial"/>
        </w:rPr>
        <w:t>…, dz. cyt.</w:t>
      </w:r>
      <w:r w:rsidR="00D434D6" w:rsidRPr="002217C9">
        <w:rPr>
          <w:rFonts w:ascii="Arial" w:hAnsi="Arial" w:cs="Arial"/>
        </w:rPr>
        <w:t xml:space="preserve">, s. </w:t>
      </w:r>
      <w:r w:rsidR="00FF11FA" w:rsidRPr="002217C9">
        <w:rPr>
          <w:rFonts w:ascii="Arial" w:hAnsi="Arial" w:cs="Arial"/>
        </w:rPr>
        <w:t>13</w:t>
      </w:r>
      <w:r w:rsidR="00D434D6" w:rsidRPr="002217C9">
        <w:rPr>
          <w:rFonts w:ascii="Arial" w:hAnsi="Arial" w:cs="Arial"/>
        </w:rPr>
        <w:t>.</w:t>
      </w:r>
    </w:p>
  </w:footnote>
  <w:footnote w:id="35">
    <w:p w:rsidR="001C6788" w:rsidRPr="002217C9" w:rsidRDefault="001C6788" w:rsidP="009E342F">
      <w:pPr>
        <w:pStyle w:val="Tekstprzypisudolnego"/>
        <w:rPr>
          <w:rFonts w:ascii="Arial" w:hAnsi="Arial" w:cs="Arial"/>
        </w:rPr>
      </w:pPr>
      <w:r w:rsidRPr="002217C9">
        <w:rPr>
          <w:rStyle w:val="Odwoanieprzypisudolnego"/>
          <w:rFonts w:ascii="Arial" w:hAnsi="Arial" w:cs="Arial"/>
        </w:rPr>
        <w:footnoteRef/>
      </w:r>
      <w:r w:rsidRPr="002217C9">
        <w:rPr>
          <w:rFonts w:ascii="Arial" w:hAnsi="Arial" w:cs="Arial"/>
        </w:rPr>
        <w:t xml:space="preserve"> </w:t>
      </w:r>
      <w:r w:rsidR="0071006D" w:rsidRPr="002217C9">
        <w:rPr>
          <w:rFonts w:ascii="Arial" w:hAnsi="Arial" w:cs="Arial"/>
        </w:rPr>
        <w:t>tamże</w:t>
      </w:r>
      <w:r w:rsidRPr="002217C9">
        <w:rPr>
          <w:rFonts w:ascii="Arial" w:hAnsi="Arial" w:cs="Arial"/>
        </w:rPr>
        <w:t>, s. 42.</w:t>
      </w:r>
    </w:p>
  </w:footnote>
  <w:footnote w:id="36">
    <w:p w:rsidR="002217C9" w:rsidRPr="002217C9" w:rsidRDefault="002217C9">
      <w:pPr>
        <w:pStyle w:val="Tekstprzypisudolnego"/>
        <w:rPr>
          <w:rFonts w:ascii="Arial" w:hAnsi="Arial" w:cs="Arial"/>
        </w:rPr>
      </w:pPr>
      <w:r w:rsidRPr="002217C9">
        <w:rPr>
          <w:rStyle w:val="Odwoanieprzypisudolnego"/>
          <w:rFonts w:ascii="Arial" w:hAnsi="Arial" w:cs="Arial"/>
        </w:rPr>
        <w:footnoteRef/>
      </w:r>
      <w:r w:rsidRPr="002217C9">
        <w:rPr>
          <w:rFonts w:ascii="Arial" w:hAnsi="Arial" w:cs="Arial"/>
        </w:rPr>
        <w:t xml:space="preserve"> Na podstawie danych pozyskanych z Centralnej Aplikacji Statystycznej w ramach sprawozdania MRiPS-03-R za I-XII 2021 r.</w:t>
      </w:r>
    </w:p>
  </w:footnote>
  <w:footnote w:id="37">
    <w:p w:rsidR="006E654D" w:rsidRPr="007D64CC" w:rsidRDefault="006E654D" w:rsidP="009E342F">
      <w:pPr>
        <w:pStyle w:val="Tekstprzypisudolnego"/>
        <w:rPr>
          <w:rFonts w:ascii="Arial" w:hAnsi="Arial" w:cs="Arial"/>
        </w:rPr>
      </w:pPr>
      <w:r w:rsidRPr="007D64CC">
        <w:rPr>
          <w:rStyle w:val="Odwoanieprzypisudolnego"/>
          <w:rFonts w:ascii="Arial" w:hAnsi="Arial" w:cs="Arial"/>
        </w:rPr>
        <w:footnoteRef/>
      </w:r>
      <w:r w:rsidRPr="007D64CC">
        <w:rPr>
          <w:rFonts w:ascii="Arial" w:hAnsi="Arial" w:cs="Arial"/>
        </w:rPr>
        <w:t xml:space="preserve"> </w:t>
      </w:r>
      <w:r w:rsidR="008022B4" w:rsidRPr="007D64CC">
        <w:rPr>
          <w:rFonts w:ascii="Arial" w:hAnsi="Arial" w:cs="Arial"/>
        </w:rPr>
        <w:t>Zob. https://www.gov.pl/web/zdrowie/informacja-o-aktualnym-stanie-prac-nad-reforma-w-systemie-ochrony-zdrowia-psychicznego-dzieci-i-mlodziezy, dostęp: 14.11.2022</w:t>
      </w:r>
      <w:r w:rsidR="000A2918" w:rsidRPr="007D64CC">
        <w:rPr>
          <w:rFonts w:ascii="Arial" w:hAnsi="Arial" w:cs="Arial"/>
        </w:rPr>
        <w:t xml:space="preserve"> </w:t>
      </w:r>
      <w:r w:rsidR="008022B4" w:rsidRPr="007D64CC">
        <w:rPr>
          <w:rFonts w:ascii="Arial" w:hAnsi="Arial" w:cs="Arial"/>
        </w:rPr>
        <w:t>r.</w:t>
      </w:r>
    </w:p>
  </w:footnote>
  <w:footnote w:id="38">
    <w:p w:rsidR="0040029D" w:rsidRPr="007D64CC" w:rsidRDefault="0040029D" w:rsidP="009E342F">
      <w:pPr>
        <w:pStyle w:val="Tekstprzypisudolnego"/>
        <w:rPr>
          <w:rFonts w:ascii="Arial" w:hAnsi="Arial" w:cs="Arial"/>
        </w:rPr>
      </w:pPr>
      <w:r w:rsidRPr="007D64CC">
        <w:rPr>
          <w:rStyle w:val="Odwoanieprzypisudolnego"/>
          <w:rFonts w:ascii="Arial" w:hAnsi="Arial" w:cs="Arial"/>
        </w:rPr>
        <w:footnoteRef/>
      </w:r>
      <w:r w:rsidRPr="007D64CC">
        <w:rPr>
          <w:rFonts w:ascii="Arial" w:hAnsi="Arial" w:cs="Arial"/>
        </w:rPr>
        <w:t xml:space="preserve"> Zob. https://czp.org.pl/#zalozenia, dostęp: 14.11.2022</w:t>
      </w:r>
      <w:r w:rsidR="000A2918" w:rsidRPr="007D64CC">
        <w:rPr>
          <w:rFonts w:ascii="Arial" w:hAnsi="Arial" w:cs="Arial"/>
        </w:rPr>
        <w:t xml:space="preserve"> </w:t>
      </w:r>
      <w:r w:rsidRPr="007D64CC">
        <w:rPr>
          <w:rFonts w:ascii="Arial" w:hAnsi="Arial" w:cs="Arial"/>
        </w:rPr>
        <w:t>r.</w:t>
      </w:r>
    </w:p>
  </w:footnote>
  <w:footnote w:id="39">
    <w:p w:rsidR="00EF01FC" w:rsidRPr="007D64CC" w:rsidRDefault="00EF01FC" w:rsidP="00EF01FC">
      <w:pPr>
        <w:pStyle w:val="Tekstprzypisudolnego"/>
        <w:rPr>
          <w:rFonts w:ascii="Arial" w:hAnsi="Arial" w:cs="Arial"/>
        </w:rPr>
      </w:pPr>
      <w:r w:rsidRPr="007D64CC">
        <w:rPr>
          <w:rStyle w:val="Odwoanieprzypisudolnego"/>
          <w:rFonts w:ascii="Arial" w:hAnsi="Arial" w:cs="Arial"/>
        </w:rPr>
        <w:footnoteRef/>
      </w:r>
      <w:r w:rsidRPr="007D64CC">
        <w:rPr>
          <w:rFonts w:ascii="Arial" w:hAnsi="Arial" w:cs="Arial"/>
        </w:rPr>
        <w:t xml:space="preserve"> I poziom referencyjny – Ośrodek Środowiskowej Opieki Psychologicznej i Psychoterapeutycznej dla Dzieci i Młodzieży (psycholog, psychoterapeuci, terapeuta środowiskowy), II poziom referencyjny – Centrum Zdrowia Psychicznego dla Dzieci i Młodzieży (psychiatra dzieci i młodzieży / oddział dzienny), III poziom referencyjny – Ośrodek Wysokospecjalistycznej Całodobowej Opieki Psychiatrycznej (izba przyjęć / oddział całodobowy, przyjęcia planowe oraz przyjęcia w sytuacji zagrożenia życia).</w:t>
      </w:r>
    </w:p>
  </w:footnote>
  <w:footnote w:id="40">
    <w:p w:rsidR="006D6E8B" w:rsidRPr="00E929BE" w:rsidRDefault="006D6E8B">
      <w:pPr>
        <w:pStyle w:val="Tekstprzypisudolnego"/>
        <w:rPr>
          <w:rFonts w:ascii="Arial" w:hAnsi="Arial" w:cs="Arial"/>
        </w:rPr>
      </w:pPr>
      <w:r w:rsidRPr="00E929BE">
        <w:rPr>
          <w:rStyle w:val="Odwoanieprzypisudolnego"/>
          <w:rFonts w:ascii="Arial" w:hAnsi="Arial" w:cs="Arial"/>
        </w:rPr>
        <w:footnoteRef/>
      </w:r>
      <w:r w:rsidR="00E52D5A">
        <w:rPr>
          <w:rFonts w:ascii="Arial" w:hAnsi="Arial" w:cs="Arial"/>
        </w:rPr>
        <w:t>§4</w:t>
      </w:r>
      <w:r w:rsidRPr="00E929BE">
        <w:rPr>
          <w:rFonts w:ascii="Arial" w:hAnsi="Arial" w:cs="Arial"/>
        </w:rPr>
        <w:t xml:space="preserve"> </w:t>
      </w:r>
      <w:r w:rsidR="00E929BE" w:rsidRPr="00E929BE">
        <w:rPr>
          <w:rFonts w:ascii="Arial" w:hAnsi="Arial" w:cs="Arial"/>
        </w:rPr>
        <w:t>Rozporządzenie Ministra Zdrowia z dnia 27 kwietnia 2018 r. w sprawie programu pilotażowego w</w:t>
      </w:r>
      <w:r w:rsidR="00E51F38">
        <w:rPr>
          <w:rFonts w:ascii="Arial" w:hAnsi="Arial" w:cs="Arial"/>
        </w:rPr>
        <w:t> </w:t>
      </w:r>
      <w:r w:rsidR="00E929BE" w:rsidRPr="00E929BE">
        <w:rPr>
          <w:rFonts w:ascii="Arial" w:hAnsi="Arial" w:cs="Arial"/>
        </w:rPr>
        <w:t>centrach zdrowia psychicznego (t.j. Dz. U. z 2020 r. poz. 2086 z późn. zm.).</w:t>
      </w:r>
    </w:p>
  </w:footnote>
  <w:footnote w:id="41">
    <w:p w:rsidR="00F63242" w:rsidRPr="00E929BE" w:rsidRDefault="00F63242">
      <w:pPr>
        <w:pStyle w:val="Tekstprzypisudolnego"/>
        <w:rPr>
          <w:rFonts w:ascii="Arial" w:hAnsi="Arial" w:cs="Arial"/>
        </w:rPr>
      </w:pPr>
      <w:r w:rsidRPr="00E929BE">
        <w:rPr>
          <w:rStyle w:val="Odwoanieprzypisudolnego"/>
          <w:rFonts w:ascii="Arial" w:hAnsi="Arial" w:cs="Arial"/>
        </w:rPr>
        <w:footnoteRef/>
      </w:r>
      <w:r w:rsidRPr="00E929BE">
        <w:rPr>
          <w:rFonts w:ascii="Arial" w:hAnsi="Arial" w:cs="Arial"/>
        </w:rPr>
        <w:t xml:space="preserve"> </w:t>
      </w:r>
      <w:r w:rsidR="00E929BE" w:rsidRPr="00E929BE">
        <w:rPr>
          <w:rFonts w:ascii="Arial" w:hAnsi="Arial" w:cs="Arial"/>
        </w:rPr>
        <w:t>Źródło</w:t>
      </w:r>
      <w:r w:rsidRPr="00E929BE">
        <w:rPr>
          <w:rFonts w:ascii="Arial" w:hAnsi="Arial" w:cs="Arial"/>
        </w:rPr>
        <w:t>: https://czp.org.pl/mapa/#pomorskie; dostęp: 13.02.2023</w:t>
      </w:r>
      <w:r w:rsidR="000A2918">
        <w:rPr>
          <w:rFonts w:ascii="Arial" w:hAnsi="Arial" w:cs="Arial"/>
        </w:rPr>
        <w:t xml:space="preserve"> </w:t>
      </w:r>
      <w:r w:rsidRPr="00E929BE">
        <w:rPr>
          <w:rFonts w:ascii="Arial" w:hAnsi="Arial" w:cs="Arial"/>
        </w:rPr>
        <w:t>r.</w:t>
      </w:r>
    </w:p>
  </w:footnote>
  <w:footnote w:id="42">
    <w:p w:rsidR="00687591" w:rsidRPr="00687591" w:rsidRDefault="00687591">
      <w:pPr>
        <w:pStyle w:val="Tekstprzypisudolnego"/>
        <w:rPr>
          <w:rFonts w:ascii="Arial" w:hAnsi="Arial" w:cs="Arial"/>
        </w:rPr>
      </w:pPr>
      <w:r w:rsidRPr="00687591">
        <w:rPr>
          <w:rStyle w:val="Odwoanieprzypisudolnego"/>
          <w:rFonts w:ascii="Arial" w:hAnsi="Arial" w:cs="Arial"/>
        </w:rPr>
        <w:footnoteRef/>
      </w:r>
      <w:r w:rsidRPr="00687591">
        <w:rPr>
          <w:rFonts w:ascii="Arial" w:hAnsi="Arial" w:cs="Arial"/>
        </w:rPr>
        <w:t xml:space="preserve"> </w:t>
      </w:r>
      <w:r w:rsidR="006401F8">
        <w:rPr>
          <w:rFonts w:ascii="Arial" w:hAnsi="Arial" w:cs="Arial"/>
        </w:rPr>
        <w:t>Wszystkie dane dotyczące usług świadczonych w Centrach Zdrowia Psychicznego pochodzą ze sprawozdania udostępnionego przez</w:t>
      </w:r>
      <w:r w:rsidRPr="00687591">
        <w:rPr>
          <w:rFonts w:ascii="Arial" w:hAnsi="Arial" w:cs="Arial"/>
        </w:rPr>
        <w:t xml:space="preserve"> </w:t>
      </w:r>
      <w:r w:rsidR="006401F8">
        <w:rPr>
          <w:rFonts w:ascii="Arial" w:hAnsi="Arial" w:cs="Arial"/>
        </w:rPr>
        <w:t>B</w:t>
      </w:r>
      <w:r w:rsidRPr="00687591">
        <w:rPr>
          <w:rFonts w:ascii="Arial" w:hAnsi="Arial" w:cs="Arial"/>
        </w:rPr>
        <w:t>iur</w:t>
      </w:r>
      <w:r w:rsidR="006401F8">
        <w:rPr>
          <w:rFonts w:ascii="Arial" w:hAnsi="Arial" w:cs="Arial"/>
        </w:rPr>
        <w:t>o ds. Pilotażu</w:t>
      </w:r>
      <w:r w:rsidRPr="00687591">
        <w:rPr>
          <w:rFonts w:ascii="Arial" w:hAnsi="Arial" w:cs="Arial"/>
        </w:rPr>
        <w:t xml:space="preserve"> NPZOP.</w:t>
      </w:r>
    </w:p>
  </w:footnote>
  <w:footnote w:id="43">
    <w:p w:rsidR="00A3228B" w:rsidRPr="00E929BE" w:rsidRDefault="00A3228B" w:rsidP="00A3228B">
      <w:pPr>
        <w:pStyle w:val="Tekstprzypisudolnego"/>
        <w:rPr>
          <w:rFonts w:ascii="Arial" w:hAnsi="Arial" w:cs="Arial"/>
        </w:rPr>
      </w:pPr>
      <w:r w:rsidRPr="00E929BE">
        <w:rPr>
          <w:rStyle w:val="Odwoanieprzypisudolnego"/>
          <w:rFonts w:ascii="Arial" w:hAnsi="Arial" w:cs="Arial"/>
        </w:rPr>
        <w:footnoteRef/>
      </w:r>
      <w:r w:rsidRPr="00E929BE">
        <w:rPr>
          <w:rFonts w:ascii="Arial" w:hAnsi="Arial" w:cs="Arial"/>
        </w:rPr>
        <w:t xml:space="preserve"> </w:t>
      </w:r>
      <w:r w:rsidRPr="00E929BE">
        <w:rPr>
          <w:rFonts w:ascii="Arial" w:hAnsi="Arial" w:cs="Arial"/>
          <w:i/>
        </w:rPr>
        <w:t>Ocena potrzeb</w:t>
      </w:r>
      <w:r w:rsidRPr="00E929BE">
        <w:rPr>
          <w:rFonts w:ascii="Arial" w:hAnsi="Arial" w:cs="Arial"/>
        </w:rPr>
        <w:t>…, dz. cyt., s.327–328.</w:t>
      </w:r>
    </w:p>
  </w:footnote>
  <w:footnote w:id="44">
    <w:p w:rsidR="00EF1B34" w:rsidRPr="0071006D" w:rsidRDefault="00EF1B34"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Pr="0071006D">
        <w:rPr>
          <w:rFonts w:ascii="Arial" w:hAnsi="Arial" w:cs="Arial"/>
          <w:i/>
        </w:rPr>
        <w:t>Adekwatność i efektywność udzielanych świadczeń opieki zdrowotnej w odniesieniu do</w:t>
      </w:r>
      <w:r w:rsidR="00A231FA">
        <w:rPr>
          <w:rFonts w:ascii="Arial" w:hAnsi="Arial" w:cs="Arial"/>
          <w:i/>
        </w:rPr>
        <w:t> </w:t>
      </w:r>
      <w:r w:rsidRPr="0071006D">
        <w:rPr>
          <w:rFonts w:ascii="Arial" w:hAnsi="Arial" w:cs="Arial"/>
          <w:i/>
        </w:rPr>
        <w:t>rozpoznanych potrzeb zdrowotnych osób starszych. Raport końcowy</w:t>
      </w:r>
      <w:r w:rsidRPr="0071006D">
        <w:rPr>
          <w:rFonts w:ascii="Arial" w:hAnsi="Arial" w:cs="Arial"/>
        </w:rPr>
        <w:t>, A. Czerw (red.), Narodowy Instytut Zdrowia Publicznego – Państwowy Zakład Higieny, Warszawa 2020, s. 13.</w:t>
      </w:r>
    </w:p>
  </w:footnote>
  <w:footnote w:id="45">
    <w:p w:rsidR="00C029D7" w:rsidRPr="0071006D" w:rsidRDefault="00C029D7" w:rsidP="009E342F">
      <w:pPr>
        <w:pStyle w:val="Tekstprzypisudolnego"/>
        <w:rPr>
          <w:rFonts w:ascii="Arial" w:hAnsi="Arial" w:cs="Arial"/>
        </w:rPr>
      </w:pPr>
      <w:r w:rsidRPr="0071006D">
        <w:rPr>
          <w:rStyle w:val="Odwoanieprzypisudolnego"/>
          <w:rFonts w:ascii="Arial" w:hAnsi="Arial" w:cs="Arial"/>
        </w:rPr>
        <w:footnoteRef/>
      </w:r>
      <w:r w:rsidRPr="0071006D">
        <w:rPr>
          <w:rFonts w:ascii="Arial" w:hAnsi="Arial" w:cs="Arial"/>
        </w:rPr>
        <w:t xml:space="preserve"> </w:t>
      </w:r>
      <w:r w:rsidR="000C6598" w:rsidRPr="0071006D">
        <w:rPr>
          <w:rFonts w:ascii="Arial" w:hAnsi="Arial" w:cs="Arial"/>
        </w:rPr>
        <w:t>Dane BDL GUS</w:t>
      </w:r>
      <w:r w:rsidR="0071006D">
        <w:rPr>
          <w:rFonts w:ascii="Arial" w:hAnsi="Arial" w:cs="Arial"/>
        </w:rPr>
        <w:t>, dostęp: 14.11.2022 r</w:t>
      </w:r>
      <w:r w:rsidR="000C6598" w:rsidRPr="0071006D">
        <w:rPr>
          <w:rFonts w:ascii="Arial" w:hAnsi="Arial" w:cs="Arial"/>
        </w:rPr>
        <w:t>.</w:t>
      </w:r>
    </w:p>
  </w:footnote>
  <w:footnote w:id="46">
    <w:p w:rsidR="000C6598" w:rsidRPr="00E11316" w:rsidRDefault="000C6598" w:rsidP="009E342F">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0071006D" w:rsidRPr="00E11316">
        <w:rPr>
          <w:rFonts w:ascii="Arial" w:hAnsi="Arial" w:cs="Arial"/>
        </w:rPr>
        <w:t>tamże</w:t>
      </w:r>
      <w:r w:rsidR="002B27B4" w:rsidRPr="00E11316">
        <w:rPr>
          <w:rFonts w:ascii="Arial" w:hAnsi="Arial" w:cs="Arial"/>
        </w:rPr>
        <w:t>, dostęp: 29.11.2022 r</w:t>
      </w:r>
      <w:r w:rsidRPr="00E11316">
        <w:rPr>
          <w:rFonts w:ascii="Arial" w:hAnsi="Arial" w:cs="Arial"/>
        </w:rPr>
        <w:t>.</w:t>
      </w:r>
    </w:p>
  </w:footnote>
  <w:footnote w:id="47">
    <w:p w:rsidR="00C24815" w:rsidRPr="00E11316" w:rsidRDefault="00C24815" w:rsidP="009E342F">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Dane NSP 2021 GUS.</w:t>
      </w:r>
    </w:p>
  </w:footnote>
  <w:footnote w:id="48">
    <w:p w:rsidR="004B25A0" w:rsidRPr="00E11316" w:rsidRDefault="004B25A0" w:rsidP="009E342F">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bookmarkStart w:id="1" w:name="_Hlk129690226"/>
      <w:r w:rsidRPr="00E11316">
        <w:rPr>
          <w:rFonts w:ascii="Arial" w:hAnsi="Arial" w:cs="Arial"/>
          <w:i/>
        </w:rPr>
        <w:t>Prognoza wpływów i wydatków Funduszu Emerytalnego do 2080 roku</w:t>
      </w:r>
      <w:r w:rsidRPr="00E11316">
        <w:rPr>
          <w:rFonts w:ascii="Arial" w:hAnsi="Arial" w:cs="Arial"/>
        </w:rPr>
        <w:t>, Departament Statystyki i</w:t>
      </w:r>
      <w:r w:rsidR="00A231FA" w:rsidRPr="00E11316">
        <w:rPr>
          <w:rFonts w:ascii="Arial" w:hAnsi="Arial" w:cs="Arial"/>
        </w:rPr>
        <w:t> </w:t>
      </w:r>
      <w:r w:rsidRPr="00E11316">
        <w:rPr>
          <w:rFonts w:ascii="Arial" w:hAnsi="Arial" w:cs="Arial"/>
        </w:rPr>
        <w:t>Prognoz Aktuarialnych, Zakład Ubezpieczeń Społecznych</w:t>
      </w:r>
      <w:r w:rsidR="007D3BA6" w:rsidRPr="00E11316">
        <w:rPr>
          <w:rFonts w:ascii="Arial" w:hAnsi="Arial" w:cs="Arial"/>
        </w:rPr>
        <w:t>, s. 13–14.</w:t>
      </w:r>
      <w:bookmarkEnd w:id="1"/>
    </w:p>
  </w:footnote>
  <w:footnote w:id="49">
    <w:p w:rsidR="00FA22B8" w:rsidRPr="00E11316" w:rsidRDefault="00FA22B8" w:rsidP="00FA22B8">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Pr="00E11316">
        <w:rPr>
          <w:rFonts w:ascii="Arial" w:hAnsi="Arial" w:cs="Arial"/>
          <w:i/>
        </w:rPr>
        <w:t>Pracujący emeryci – XII 2021</w:t>
      </w:r>
      <w:r w:rsidRPr="00E11316">
        <w:rPr>
          <w:rFonts w:ascii="Arial" w:hAnsi="Arial" w:cs="Arial"/>
        </w:rPr>
        <w:t>, Departament Statystyki i Prognoz Aktuarialnych, Zakład Ubezpieczeń Społecznych, s. 2–3.</w:t>
      </w:r>
    </w:p>
  </w:footnote>
  <w:footnote w:id="50">
    <w:p w:rsidR="00FA22B8" w:rsidRPr="00E11316" w:rsidRDefault="00FA22B8" w:rsidP="00FA22B8">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Pr="00E11316">
        <w:rPr>
          <w:rFonts w:ascii="Arial" w:hAnsi="Arial" w:cs="Arial"/>
          <w:i/>
        </w:rPr>
        <w:t>Sytuacja osób starszych w Polsce w 2021 r.</w:t>
      </w:r>
      <w:r w:rsidRPr="00E11316">
        <w:rPr>
          <w:rFonts w:ascii="Arial" w:hAnsi="Arial" w:cs="Arial"/>
        </w:rPr>
        <w:t>, Główny Urząd Statystyczny, Urząd Statystyczny w Białymstoku, Warszawa, Białystok 2022, s. 27.</w:t>
      </w:r>
    </w:p>
  </w:footnote>
  <w:footnote w:id="51">
    <w:p w:rsidR="00FA22B8" w:rsidRPr="00E11316" w:rsidRDefault="00FA22B8" w:rsidP="00FA22B8">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tamże, s. 21.</w:t>
      </w:r>
    </w:p>
  </w:footnote>
  <w:footnote w:id="52">
    <w:p w:rsidR="00FA22B8" w:rsidRPr="00E11316" w:rsidRDefault="00FA22B8" w:rsidP="00FA22B8">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tamże, s. 36.</w:t>
      </w:r>
    </w:p>
  </w:footnote>
  <w:footnote w:id="53">
    <w:p w:rsidR="003C48CD" w:rsidRPr="00E11316" w:rsidRDefault="003C48CD">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00E0303C" w:rsidRPr="00E11316">
        <w:rPr>
          <w:rFonts w:ascii="Arial" w:hAnsi="Arial" w:cs="Arial"/>
          <w:i/>
        </w:rPr>
        <w:t>Zdrowie i ochrona zdrowia w 2021 roku</w:t>
      </w:r>
      <w:r w:rsidR="00E0303C" w:rsidRPr="00E11316">
        <w:rPr>
          <w:rFonts w:ascii="Arial" w:hAnsi="Arial" w:cs="Arial"/>
        </w:rPr>
        <w:t>, Główny Urząd Statystyczny.</w:t>
      </w:r>
      <w:r w:rsidR="00BB5252" w:rsidRPr="00E11316">
        <w:rPr>
          <w:rFonts w:ascii="Arial" w:hAnsi="Arial" w:cs="Arial"/>
        </w:rPr>
        <w:t xml:space="preserve"> Zakłady opieki długoterminowej obejmują także zakłady opiekuńczo-lecznicze i pielęgnacyjno-opiekuńcze typu psychiatrycznego, hospicja i oddziały opieki paliatywnej.</w:t>
      </w:r>
    </w:p>
  </w:footnote>
  <w:footnote w:id="54">
    <w:p w:rsidR="00056E60" w:rsidRPr="00FD60E8" w:rsidRDefault="00056E60">
      <w:pPr>
        <w:pStyle w:val="Tekstprzypisudolnego"/>
        <w:rPr>
          <w:rFonts w:ascii="Arial" w:hAnsi="Arial" w:cs="Arial"/>
        </w:rPr>
      </w:pPr>
      <w:r w:rsidRPr="00FD60E8">
        <w:rPr>
          <w:rStyle w:val="Odwoanieprzypisudolnego"/>
          <w:rFonts w:ascii="Arial" w:hAnsi="Arial" w:cs="Arial"/>
        </w:rPr>
        <w:footnoteRef/>
      </w:r>
      <w:r w:rsidRPr="00FD60E8">
        <w:rPr>
          <w:rFonts w:ascii="Arial" w:hAnsi="Arial" w:cs="Arial"/>
        </w:rPr>
        <w:t xml:space="preserve"> </w:t>
      </w:r>
      <w:r w:rsidR="00061651" w:rsidRPr="00FD60E8">
        <w:rPr>
          <w:rFonts w:ascii="Arial" w:hAnsi="Arial" w:cs="Arial"/>
        </w:rPr>
        <w:t>Portal informacyjny</w:t>
      </w:r>
      <w:r w:rsidR="00FD60E8" w:rsidRPr="00FD60E8">
        <w:rPr>
          <w:rFonts w:ascii="Arial" w:hAnsi="Arial" w:cs="Arial"/>
        </w:rPr>
        <w:t xml:space="preserve"> – Informator o umowach</w:t>
      </w:r>
      <w:r w:rsidR="00061651" w:rsidRPr="00FD60E8">
        <w:rPr>
          <w:rFonts w:ascii="Arial" w:hAnsi="Arial" w:cs="Arial"/>
        </w:rPr>
        <w:t xml:space="preserve"> Narodowego Funduszu Zdrowia.</w:t>
      </w:r>
    </w:p>
  </w:footnote>
  <w:footnote w:id="55">
    <w:p w:rsidR="0055190F" w:rsidRPr="00E11316" w:rsidRDefault="0055190F" w:rsidP="009E342F">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Zgodnie z zapisami Ustawy o pomocy społecznej (t. j. Dz.U. z 2021 r. poz. 2268 z późn. zm.) usługi opiekuńcze przyznaje się osobie samotnej z powodu wieku, choroby lub innych przyczyn wskazujących na potrzebę pomocy innych osób.</w:t>
      </w:r>
      <w:r w:rsidR="009D2E8B" w:rsidRPr="00E11316">
        <w:rPr>
          <w:rFonts w:ascii="Arial" w:hAnsi="Arial" w:cs="Arial"/>
        </w:rPr>
        <w:t xml:space="preserve"> W praktyce, z usług tych najczęściej korzystają osoby starsze.</w:t>
      </w:r>
    </w:p>
  </w:footnote>
  <w:footnote w:id="56">
    <w:p w:rsidR="001133A6" w:rsidRPr="00E11316" w:rsidRDefault="001133A6" w:rsidP="009E342F">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Pr="00E11316">
        <w:rPr>
          <w:rFonts w:ascii="Arial" w:hAnsi="Arial" w:cs="Arial"/>
          <w:i/>
        </w:rPr>
        <w:t>Ocena zasobów pomocy</w:t>
      </w:r>
      <w:r w:rsidR="0071006D" w:rsidRPr="00E11316">
        <w:rPr>
          <w:rFonts w:ascii="Arial" w:hAnsi="Arial" w:cs="Arial"/>
        </w:rPr>
        <w:t>…, dz. cyt.</w:t>
      </w:r>
      <w:r w:rsidRPr="00E11316">
        <w:rPr>
          <w:rFonts w:ascii="Arial" w:hAnsi="Arial" w:cs="Arial"/>
        </w:rPr>
        <w:t>, s.42.</w:t>
      </w:r>
    </w:p>
  </w:footnote>
  <w:footnote w:id="57">
    <w:p w:rsidR="00494E1B" w:rsidRPr="00E11316" w:rsidRDefault="00494E1B" w:rsidP="009E342F">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0071006D" w:rsidRPr="00E11316">
        <w:rPr>
          <w:rFonts w:ascii="Arial" w:hAnsi="Arial" w:cs="Arial"/>
        </w:rPr>
        <w:t>tamże</w:t>
      </w:r>
      <w:r w:rsidRPr="00E11316">
        <w:rPr>
          <w:rFonts w:ascii="Arial" w:hAnsi="Arial" w:cs="Arial"/>
        </w:rPr>
        <w:t>, s.14.</w:t>
      </w:r>
    </w:p>
  </w:footnote>
  <w:footnote w:id="58">
    <w:p w:rsidR="0034314C" w:rsidRPr="00E11316" w:rsidRDefault="0034314C" w:rsidP="00A461BE">
      <w:pPr>
        <w:pStyle w:val="Tekstprzypisudolnego"/>
        <w:jc w:val="both"/>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0071006D" w:rsidRPr="00E11316">
        <w:rPr>
          <w:rFonts w:ascii="Arial" w:hAnsi="Arial" w:cs="Arial"/>
        </w:rPr>
        <w:t>tamże</w:t>
      </w:r>
      <w:r w:rsidRPr="00E11316">
        <w:rPr>
          <w:rFonts w:ascii="Arial" w:hAnsi="Arial" w:cs="Arial"/>
        </w:rPr>
        <w:t>, s.15.</w:t>
      </w:r>
    </w:p>
  </w:footnote>
  <w:footnote w:id="59">
    <w:p w:rsidR="00630E34" w:rsidRPr="00E11316" w:rsidRDefault="00630E34" w:rsidP="00A461BE">
      <w:pPr>
        <w:pStyle w:val="Tekstprzypisudolnego"/>
        <w:jc w:val="both"/>
        <w:rPr>
          <w:rFonts w:ascii="Arial" w:hAnsi="Arial" w:cs="Arial"/>
          <w:i/>
        </w:rPr>
      </w:pPr>
      <w:r w:rsidRPr="00E11316">
        <w:rPr>
          <w:rStyle w:val="Odwoanieprzypisudolnego"/>
          <w:rFonts w:ascii="Arial" w:hAnsi="Arial" w:cs="Arial"/>
        </w:rPr>
        <w:footnoteRef/>
      </w:r>
      <w:r w:rsidRPr="00E11316">
        <w:rPr>
          <w:rFonts w:ascii="Arial" w:hAnsi="Arial" w:cs="Arial"/>
        </w:rPr>
        <w:t xml:space="preserve"> </w:t>
      </w:r>
      <w:r w:rsidR="0071006D" w:rsidRPr="00E11316">
        <w:rPr>
          <w:rFonts w:ascii="Arial" w:hAnsi="Arial" w:cs="Arial"/>
        </w:rPr>
        <w:t>tamże</w:t>
      </w:r>
      <w:r w:rsidRPr="00E11316">
        <w:rPr>
          <w:rFonts w:ascii="Arial" w:hAnsi="Arial" w:cs="Arial"/>
        </w:rPr>
        <w:t>, s.</w:t>
      </w:r>
      <w:r w:rsidR="0071006D" w:rsidRPr="00E11316">
        <w:rPr>
          <w:rFonts w:ascii="Arial" w:hAnsi="Arial" w:cs="Arial"/>
        </w:rPr>
        <w:t xml:space="preserve"> </w:t>
      </w:r>
      <w:r w:rsidRPr="00E11316">
        <w:rPr>
          <w:rFonts w:ascii="Arial" w:hAnsi="Arial" w:cs="Arial"/>
        </w:rPr>
        <w:t>27–28.</w:t>
      </w:r>
    </w:p>
  </w:footnote>
  <w:footnote w:id="60">
    <w:p w:rsidR="00A00748" w:rsidRPr="00E11316" w:rsidRDefault="00A00748" w:rsidP="00AB1ED2">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0071006D" w:rsidRPr="00E11316">
        <w:rPr>
          <w:rFonts w:ascii="Arial" w:hAnsi="Arial" w:cs="Arial"/>
        </w:rPr>
        <w:t>tamże,</w:t>
      </w:r>
      <w:r w:rsidRPr="00E11316">
        <w:rPr>
          <w:rFonts w:ascii="Arial" w:hAnsi="Arial" w:cs="Arial"/>
        </w:rPr>
        <w:t xml:space="preserve"> s.29</w:t>
      </w:r>
      <w:r w:rsidR="000042DE" w:rsidRPr="00E11316">
        <w:rPr>
          <w:rFonts w:ascii="Arial" w:hAnsi="Arial" w:cs="Arial"/>
        </w:rPr>
        <w:t>–30</w:t>
      </w:r>
      <w:r w:rsidRPr="00E11316">
        <w:rPr>
          <w:rFonts w:ascii="Arial" w:hAnsi="Arial" w:cs="Arial"/>
        </w:rPr>
        <w:t>.</w:t>
      </w:r>
    </w:p>
  </w:footnote>
  <w:footnote w:id="61">
    <w:p w:rsidR="001B17B5" w:rsidRPr="00E11316" w:rsidRDefault="001B17B5" w:rsidP="001B17B5">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bookmarkStart w:id="2" w:name="_Hlk120195149"/>
      <w:r w:rsidRPr="00E11316">
        <w:rPr>
          <w:rFonts w:ascii="Arial" w:hAnsi="Arial" w:cs="Arial"/>
          <w:i/>
        </w:rPr>
        <w:t>Ocena potrzeb</w:t>
      </w:r>
      <w:r w:rsidRPr="00E11316">
        <w:rPr>
          <w:rFonts w:ascii="Arial" w:hAnsi="Arial" w:cs="Arial"/>
        </w:rPr>
        <w:t>…, dz. cyt., s. 324–325.</w:t>
      </w:r>
      <w:bookmarkEnd w:id="2"/>
    </w:p>
  </w:footnote>
  <w:footnote w:id="62">
    <w:p w:rsidR="00676661" w:rsidRPr="00E11316" w:rsidRDefault="00676661">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Pr="00E11316">
        <w:rPr>
          <w:rFonts w:ascii="Arial" w:hAnsi="Arial" w:cs="Arial"/>
          <w:i/>
        </w:rPr>
        <w:t xml:space="preserve">Sytuacja osób </w:t>
      </w:r>
      <w:r w:rsidRPr="00E11316">
        <w:rPr>
          <w:rFonts w:ascii="Arial" w:hAnsi="Arial" w:cs="Arial"/>
        </w:rPr>
        <w:t>starszych</w:t>
      </w:r>
      <w:r w:rsidR="00E11316">
        <w:rPr>
          <w:rFonts w:ascii="Arial" w:hAnsi="Arial" w:cs="Arial"/>
        </w:rPr>
        <w:t xml:space="preserve">…, dz. cyt. </w:t>
      </w:r>
      <w:r w:rsidRPr="00E11316">
        <w:rPr>
          <w:rFonts w:ascii="Arial" w:hAnsi="Arial" w:cs="Arial"/>
        </w:rPr>
        <w:t>s. 37</w:t>
      </w:r>
      <w:r w:rsidR="004A4149" w:rsidRPr="00E11316">
        <w:rPr>
          <w:rFonts w:ascii="Arial" w:hAnsi="Arial" w:cs="Arial"/>
        </w:rPr>
        <w:t>–38</w:t>
      </w:r>
      <w:r w:rsidRPr="00E11316">
        <w:rPr>
          <w:rFonts w:ascii="Arial" w:hAnsi="Arial" w:cs="Arial"/>
        </w:rPr>
        <w:t>.</w:t>
      </w:r>
    </w:p>
  </w:footnote>
  <w:footnote w:id="63">
    <w:p w:rsidR="0071064D" w:rsidRPr="00E11316" w:rsidRDefault="0071064D">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Zob. R. Horbaczewski, </w:t>
      </w:r>
      <w:r w:rsidRPr="00E11316">
        <w:rPr>
          <w:rFonts w:ascii="Arial" w:hAnsi="Arial" w:cs="Arial"/>
          <w:i/>
        </w:rPr>
        <w:t>Samopomoc sąsiedzka – kolejna wersja projektu</w:t>
      </w:r>
      <w:r w:rsidRPr="00E11316">
        <w:rPr>
          <w:rFonts w:ascii="Arial" w:hAnsi="Arial" w:cs="Arial"/>
        </w:rPr>
        <w:t>, dostępny: https://www.prawo.pl/samorzad/uslugi-sasiedzkie-nowelizacja-przepisow,518705.html; dostęp: 09.03.2023r.</w:t>
      </w:r>
    </w:p>
  </w:footnote>
  <w:footnote w:id="64">
    <w:p w:rsidR="00857384" w:rsidRPr="00E11316" w:rsidRDefault="00857384">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Pr="00E11316">
        <w:rPr>
          <w:rFonts w:ascii="Arial" w:hAnsi="Arial" w:cs="Arial"/>
          <w:i/>
        </w:rPr>
        <w:t xml:space="preserve">W stronę sprawiedliwej troski. Opieka nad osobami starszymi w </w:t>
      </w:r>
      <w:r w:rsidRPr="00E11316">
        <w:rPr>
          <w:rFonts w:ascii="Arial" w:hAnsi="Arial" w:cs="Arial"/>
        </w:rPr>
        <w:t>Polsce, I. Wóycicka (red.), Fundacja im. Stefana Batorego, Warszawa 2022, s. 56.</w:t>
      </w:r>
    </w:p>
  </w:footnote>
  <w:footnote w:id="65">
    <w:p w:rsidR="008F4BB5" w:rsidRPr="00E11316" w:rsidRDefault="008F4BB5">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00302F69" w:rsidRPr="00E11316">
        <w:rPr>
          <w:rFonts w:ascii="Arial" w:hAnsi="Arial" w:cs="Arial"/>
        </w:rPr>
        <w:t xml:space="preserve">Zob. </w:t>
      </w:r>
      <w:r w:rsidRPr="00E11316">
        <w:rPr>
          <w:rFonts w:ascii="Arial" w:hAnsi="Arial" w:cs="Arial"/>
          <w:i/>
        </w:rPr>
        <w:t>Instrukcja utworzenia stanowiska Menadżera Opieki (Menedżer Opiekuna) w podmiotach leczniczych</w:t>
      </w:r>
      <w:r w:rsidRPr="00E11316">
        <w:rPr>
          <w:rFonts w:ascii="Arial" w:hAnsi="Arial" w:cs="Arial"/>
        </w:rPr>
        <w:t>, Polskie Towarzystwo Ekonomiczne Oddział w Bydgoszczy, s. 3, dostępny: https://pte.bydgoszcz.pl/wp-content/uploads/2018/12/4P-Instrukcja-utworzenia-stanowiska-Menad%C5%BCera-Opieki-w-podmioach-leczniczych.pdf, dostęp: 27.02.2023r.</w:t>
      </w:r>
    </w:p>
  </w:footnote>
  <w:footnote w:id="66">
    <w:p w:rsidR="005014DB" w:rsidRPr="00E11316" w:rsidRDefault="005014DB" w:rsidP="00AB1ED2">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Dane BDL GUS.</w:t>
      </w:r>
    </w:p>
  </w:footnote>
  <w:footnote w:id="67">
    <w:p w:rsidR="002D49B4" w:rsidRPr="00E11316" w:rsidRDefault="002D49B4">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Analiza stanu…, dz. cyt., s. 37.</w:t>
      </w:r>
    </w:p>
  </w:footnote>
  <w:footnote w:id="68">
    <w:p w:rsidR="00572735" w:rsidRPr="00934E0C" w:rsidRDefault="00572735">
      <w:pPr>
        <w:pStyle w:val="Tekstprzypisudolnego"/>
        <w:rPr>
          <w:rFonts w:ascii="Arial" w:hAnsi="Arial" w:cs="Arial"/>
        </w:rPr>
      </w:pPr>
      <w:r w:rsidRPr="00934E0C">
        <w:rPr>
          <w:rStyle w:val="Odwoanieprzypisudolnego"/>
          <w:rFonts w:ascii="Arial" w:hAnsi="Arial" w:cs="Arial"/>
        </w:rPr>
        <w:footnoteRef/>
      </w:r>
      <w:r w:rsidRPr="00934E0C">
        <w:rPr>
          <w:rFonts w:ascii="Arial" w:hAnsi="Arial" w:cs="Arial"/>
        </w:rPr>
        <w:t xml:space="preserve"> tamże.</w:t>
      </w:r>
    </w:p>
  </w:footnote>
  <w:footnote w:id="69">
    <w:p w:rsidR="00416870" w:rsidRPr="00934E0C" w:rsidRDefault="00416870" w:rsidP="00AB1ED2">
      <w:pPr>
        <w:pStyle w:val="Tekstprzypisudolnego"/>
        <w:rPr>
          <w:rFonts w:ascii="Arial" w:hAnsi="Arial" w:cs="Arial"/>
        </w:rPr>
      </w:pPr>
      <w:r w:rsidRPr="00934E0C">
        <w:rPr>
          <w:rStyle w:val="Odwoanieprzypisudolnego"/>
          <w:rFonts w:ascii="Arial" w:hAnsi="Arial" w:cs="Arial"/>
        </w:rPr>
        <w:footnoteRef/>
      </w:r>
      <w:r w:rsidRPr="00934E0C">
        <w:rPr>
          <w:rFonts w:ascii="Arial" w:hAnsi="Arial" w:cs="Arial"/>
        </w:rPr>
        <w:t xml:space="preserve"> </w:t>
      </w:r>
      <w:r w:rsidRPr="00934E0C">
        <w:rPr>
          <w:rFonts w:ascii="Arial" w:hAnsi="Arial" w:cs="Arial"/>
          <w:i/>
        </w:rPr>
        <w:t>Ocena zasobów pomocy</w:t>
      </w:r>
      <w:r w:rsidR="0071006D" w:rsidRPr="00934E0C">
        <w:rPr>
          <w:rFonts w:ascii="Arial" w:hAnsi="Arial" w:cs="Arial"/>
        </w:rPr>
        <w:t>…, dz. cyt.</w:t>
      </w:r>
      <w:r w:rsidRPr="00934E0C">
        <w:rPr>
          <w:rFonts w:ascii="Arial" w:hAnsi="Arial" w:cs="Arial"/>
        </w:rPr>
        <w:t>, s.17.</w:t>
      </w:r>
    </w:p>
  </w:footnote>
  <w:footnote w:id="70">
    <w:p w:rsidR="00D0526C" w:rsidRPr="00934E0C" w:rsidRDefault="00D0526C">
      <w:pPr>
        <w:pStyle w:val="Tekstprzypisudolnego"/>
        <w:rPr>
          <w:rFonts w:ascii="Arial" w:hAnsi="Arial" w:cs="Arial"/>
        </w:rPr>
      </w:pPr>
      <w:r w:rsidRPr="00934E0C">
        <w:rPr>
          <w:rStyle w:val="Odwoanieprzypisudolnego"/>
          <w:rFonts w:ascii="Arial" w:hAnsi="Arial" w:cs="Arial"/>
        </w:rPr>
        <w:footnoteRef/>
      </w:r>
      <w:r w:rsidRPr="00934E0C">
        <w:rPr>
          <w:rFonts w:ascii="Arial" w:hAnsi="Arial" w:cs="Arial"/>
        </w:rPr>
        <w:t xml:space="preserve"> </w:t>
      </w:r>
      <w:r w:rsidR="000A2918" w:rsidRPr="00934E0C">
        <w:rPr>
          <w:rFonts w:ascii="Arial" w:hAnsi="Arial" w:cs="Arial"/>
        </w:rPr>
        <w:t xml:space="preserve">J. Budzyńska-Gawron, W. Cieślik, L. Węsierska-Chyc, </w:t>
      </w:r>
      <w:r w:rsidRPr="00934E0C">
        <w:rPr>
          <w:rFonts w:ascii="Arial" w:hAnsi="Arial" w:cs="Arial"/>
          <w:i/>
        </w:rPr>
        <w:t>Dostępność usług opiekuńczych dla osób w</w:t>
      </w:r>
      <w:r w:rsidR="00832052">
        <w:rPr>
          <w:rFonts w:ascii="Arial" w:hAnsi="Arial" w:cs="Arial"/>
          <w:i/>
        </w:rPr>
        <w:t> </w:t>
      </w:r>
      <w:r w:rsidRPr="00934E0C">
        <w:rPr>
          <w:rFonts w:ascii="Arial" w:hAnsi="Arial" w:cs="Arial"/>
          <w:i/>
        </w:rPr>
        <w:t>kryzysie bezdomności. Raport z badań</w:t>
      </w:r>
      <w:bookmarkStart w:id="3" w:name="_Hlk129086688"/>
      <w:r w:rsidRPr="00934E0C">
        <w:rPr>
          <w:rFonts w:ascii="Arial" w:hAnsi="Arial" w:cs="Arial"/>
          <w:i/>
        </w:rPr>
        <w:t xml:space="preserve">, </w:t>
      </w:r>
      <w:r w:rsidRPr="00934E0C">
        <w:rPr>
          <w:rFonts w:ascii="Arial" w:hAnsi="Arial" w:cs="Arial"/>
        </w:rPr>
        <w:t>Ogólnopolska Federacja na rzecz Rozwiązywania Problemu Bezdomności</w:t>
      </w:r>
      <w:bookmarkEnd w:id="3"/>
      <w:r w:rsidRPr="00934E0C">
        <w:rPr>
          <w:rFonts w:ascii="Arial" w:hAnsi="Arial" w:cs="Arial"/>
        </w:rPr>
        <w:t>, Zabrze 2021, s. 15.</w:t>
      </w:r>
    </w:p>
  </w:footnote>
  <w:footnote w:id="71">
    <w:p w:rsidR="00C436AC" w:rsidRPr="00934E0C" w:rsidRDefault="00C436AC">
      <w:pPr>
        <w:pStyle w:val="Tekstprzypisudolnego"/>
        <w:rPr>
          <w:rFonts w:ascii="Arial" w:hAnsi="Arial" w:cs="Arial"/>
        </w:rPr>
      </w:pPr>
      <w:r w:rsidRPr="00934E0C">
        <w:rPr>
          <w:rStyle w:val="Odwoanieprzypisudolnego"/>
          <w:rFonts w:ascii="Arial" w:hAnsi="Arial" w:cs="Arial"/>
        </w:rPr>
        <w:footnoteRef/>
      </w:r>
      <w:r w:rsidRPr="00934E0C">
        <w:rPr>
          <w:rFonts w:ascii="Arial" w:hAnsi="Arial" w:cs="Arial"/>
        </w:rPr>
        <w:t xml:space="preserve"> </w:t>
      </w:r>
      <w:r w:rsidR="006052EE" w:rsidRPr="00934E0C">
        <w:rPr>
          <w:rFonts w:ascii="Arial" w:hAnsi="Arial" w:cs="Arial"/>
        </w:rPr>
        <w:t xml:space="preserve">tamże, </w:t>
      </w:r>
      <w:r w:rsidRPr="00934E0C">
        <w:rPr>
          <w:rFonts w:ascii="Arial" w:hAnsi="Arial" w:cs="Arial"/>
        </w:rPr>
        <w:t>s.</w:t>
      </w:r>
      <w:r w:rsidR="006052EE" w:rsidRPr="00934E0C">
        <w:rPr>
          <w:rFonts w:ascii="Arial" w:hAnsi="Arial" w:cs="Arial"/>
        </w:rPr>
        <w:t xml:space="preserve"> </w:t>
      </w:r>
      <w:r w:rsidRPr="00934E0C">
        <w:rPr>
          <w:rFonts w:ascii="Arial" w:hAnsi="Arial" w:cs="Arial"/>
        </w:rPr>
        <w:t>19</w:t>
      </w:r>
      <w:r w:rsidR="006052EE" w:rsidRPr="00934E0C">
        <w:rPr>
          <w:rFonts w:ascii="Arial" w:hAnsi="Arial" w:cs="Arial"/>
        </w:rPr>
        <w:t>, 31.</w:t>
      </w:r>
      <w:r w:rsidRPr="00934E0C">
        <w:rPr>
          <w:rFonts w:ascii="Arial" w:hAnsi="Arial" w:cs="Arial"/>
        </w:rPr>
        <w:t xml:space="preserve"> </w:t>
      </w:r>
    </w:p>
  </w:footnote>
  <w:footnote w:id="72">
    <w:p w:rsidR="00AF5DB8" w:rsidRPr="00934E0C" w:rsidRDefault="00AF5DB8" w:rsidP="00AF5DB8">
      <w:pPr>
        <w:pStyle w:val="Tekstprzypisudolnego"/>
        <w:rPr>
          <w:rFonts w:ascii="Arial" w:hAnsi="Arial" w:cs="Arial"/>
        </w:rPr>
      </w:pPr>
      <w:r w:rsidRPr="00934E0C">
        <w:rPr>
          <w:rStyle w:val="Odwoanieprzypisudolnego"/>
          <w:rFonts w:ascii="Arial" w:hAnsi="Arial" w:cs="Arial"/>
        </w:rPr>
        <w:footnoteRef/>
      </w:r>
      <w:r w:rsidRPr="00934E0C">
        <w:rPr>
          <w:rFonts w:ascii="Arial" w:hAnsi="Arial" w:cs="Arial"/>
        </w:rPr>
        <w:t xml:space="preserve"> </w:t>
      </w:r>
      <w:r w:rsidR="00E3340A" w:rsidRPr="00934E0C">
        <w:rPr>
          <w:rFonts w:ascii="Arial" w:hAnsi="Arial" w:cs="Arial"/>
        </w:rPr>
        <w:t xml:space="preserve">P. Olech, </w:t>
      </w:r>
      <w:r w:rsidR="00E3340A" w:rsidRPr="00934E0C">
        <w:rPr>
          <w:rFonts w:ascii="Arial" w:hAnsi="Arial" w:cs="Arial"/>
          <w:i/>
        </w:rPr>
        <w:t xml:space="preserve">Wprowadzenie </w:t>
      </w:r>
      <w:r w:rsidR="00E3340A" w:rsidRPr="00934E0C">
        <w:rPr>
          <w:rFonts w:ascii="Arial" w:hAnsi="Arial" w:cs="Arial"/>
        </w:rPr>
        <w:t xml:space="preserve">W: </w:t>
      </w:r>
      <w:r w:rsidR="00727B01" w:rsidRPr="00934E0C">
        <w:rPr>
          <w:rFonts w:ascii="Arial" w:hAnsi="Arial" w:cs="Arial"/>
        </w:rPr>
        <w:t xml:space="preserve">E. Szadura, P. Olech (red.), </w:t>
      </w:r>
      <w:r w:rsidR="00727B01" w:rsidRPr="00934E0C">
        <w:rPr>
          <w:rFonts w:ascii="Arial" w:hAnsi="Arial" w:cs="Arial"/>
          <w:i/>
        </w:rPr>
        <w:t>Podręcznik – model najpierw mieszkanie – rekomendacje wdrażania</w:t>
      </w:r>
      <w:r w:rsidR="00727B01" w:rsidRPr="00934E0C">
        <w:rPr>
          <w:rFonts w:ascii="Arial" w:hAnsi="Arial" w:cs="Arial"/>
        </w:rPr>
        <w:t xml:space="preserve">, Wrocław 2022, </w:t>
      </w:r>
      <w:r w:rsidR="00E3340A" w:rsidRPr="00934E0C">
        <w:rPr>
          <w:rFonts w:ascii="Arial" w:hAnsi="Arial" w:cs="Arial"/>
        </w:rPr>
        <w:t>s. 10</w:t>
      </w:r>
      <w:r w:rsidR="00727B01" w:rsidRPr="00934E0C">
        <w:rPr>
          <w:rFonts w:ascii="Arial" w:hAnsi="Arial" w:cs="Arial"/>
        </w:rPr>
        <w:t>, dostępny: https://drive.google.com/file/d/14bkZfySSQffC-OeK8lNp5_3b5w9tF819/view.</w:t>
      </w:r>
    </w:p>
  </w:footnote>
  <w:footnote w:id="73">
    <w:p w:rsidR="00AA3684" w:rsidRDefault="00AA3684">
      <w:pPr>
        <w:pStyle w:val="Tekstprzypisudolnego"/>
      </w:pPr>
      <w:r w:rsidRPr="00934E0C">
        <w:rPr>
          <w:rStyle w:val="Odwoanieprzypisudolnego"/>
          <w:rFonts w:ascii="Arial" w:hAnsi="Arial" w:cs="Arial"/>
        </w:rPr>
        <w:footnoteRef/>
      </w:r>
      <w:r w:rsidRPr="00934E0C">
        <w:rPr>
          <w:rFonts w:ascii="Arial" w:hAnsi="Arial" w:cs="Arial"/>
        </w:rPr>
        <w:t xml:space="preserve"> A. Bokszczanin, P. Jaskulski, M. Sochocki, E. Szadura-Urbańska, M. Szpunar, A. Wierzbicka, J. Wilczek</w:t>
      </w:r>
      <w:r w:rsidR="00934E0C" w:rsidRPr="00934E0C">
        <w:rPr>
          <w:rFonts w:ascii="Arial" w:hAnsi="Arial" w:cs="Arial"/>
        </w:rPr>
        <w:t xml:space="preserve">, </w:t>
      </w:r>
      <w:r w:rsidR="00934E0C" w:rsidRPr="00934E0C">
        <w:rPr>
          <w:rFonts w:ascii="Arial" w:hAnsi="Arial" w:cs="Arial"/>
          <w:i/>
        </w:rPr>
        <w:t xml:space="preserve">Raport z analizy efektów testowanego rozwiązania Projekt „Housing First – Najpierw </w:t>
      </w:r>
      <w:r w:rsidR="00934E0C" w:rsidRPr="00E11316">
        <w:rPr>
          <w:rFonts w:ascii="Arial" w:hAnsi="Arial" w:cs="Arial"/>
          <w:i/>
        </w:rPr>
        <w:t>Mieszkanie”, Ogólnopolska Federacja na rzecz Rozwiązywania Problemu Bezdomności,</w:t>
      </w:r>
      <w:r w:rsidR="00BA0777" w:rsidRPr="00E11316">
        <w:rPr>
          <w:rFonts w:ascii="Arial" w:hAnsi="Arial" w:cs="Arial"/>
        </w:rPr>
        <w:t xml:space="preserve"> Zabrze 2022, </w:t>
      </w:r>
      <w:r w:rsidR="00934E0C" w:rsidRPr="00E11316">
        <w:rPr>
          <w:rFonts w:ascii="Arial" w:hAnsi="Arial" w:cs="Arial"/>
        </w:rPr>
        <w:t>s.</w:t>
      </w:r>
      <w:r w:rsidR="00934E0C" w:rsidRPr="00934E0C">
        <w:rPr>
          <w:rFonts w:ascii="Arial" w:hAnsi="Arial" w:cs="Arial"/>
        </w:rPr>
        <w:t xml:space="preserve"> 21–22, dostępny: https://drive.google.com/file/d/1uqS-Jo8AnhseXF3s5CrMQtVeAwHxIL-e/view.</w:t>
      </w:r>
    </w:p>
  </w:footnote>
  <w:footnote w:id="74">
    <w:p w:rsidR="00E1059B" w:rsidRPr="00E11316" w:rsidRDefault="00E1059B" w:rsidP="00AB1ED2">
      <w:pPr>
        <w:pStyle w:val="Tekstprzypisudolnego"/>
        <w:rPr>
          <w:rFonts w:ascii="Arial" w:hAnsi="Arial" w:cs="Arial"/>
          <w:i/>
        </w:rPr>
      </w:pPr>
      <w:r w:rsidRPr="00E11316">
        <w:rPr>
          <w:rStyle w:val="Odwoanieprzypisudolnego"/>
          <w:rFonts w:ascii="Arial" w:hAnsi="Arial" w:cs="Arial"/>
        </w:rPr>
        <w:footnoteRef/>
      </w:r>
      <w:r w:rsidRPr="00E11316">
        <w:rPr>
          <w:rFonts w:ascii="Arial" w:hAnsi="Arial" w:cs="Arial"/>
        </w:rPr>
        <w:t xml:space="preserve"> Por. </w:t>
      </w:r>
      <w:r w:rsidRPr="00E11316">
        <w:rPr>
          <w:rFonts w:ascii="Arial" w:hAnsi="Arial" w:cs="Arial"/>
          <w:i/>
        </w:rPr>
        <w:t>Najważniejsze wyniki badań socjodemograficznych dla województwa pomorskiego</w:t>
      </w:r>
      <w:r w:rsidR="00070F4C" w:rsidRPr="00E11316">
        <w:rPr>
          <w:rFonts w:ascii="Arial" w:hAnsi="Arial" w:cs="Arial"/>
          <w:i/>
        </w:rPr>
        <w:t xml:space="preserve"> – Lata 2003-2009</w:t>
      </w:r>
      <w:r w:rsidR="00B909B2" w:rsidRPr="00E11316">
        <w:rPr>
          <w:rFonts w:ascii="Arial" w:hAnsi="Arial" w:cs="Arial"/>
          <w:i/>
        </w:rPr>
        <w:t xml:space="preserve">; </w:t>
      </w:r>
      <w:r w:rsidR="00642042" w:rsidRPr="00E11316">
        <w:rPr>
          <w:rFonts w:ascii="Arial" w:hAnsi="Arial" w:cs="Arial"/>
          <w:i/>
        </w:rPr>
        <w:t>Ogólnopolskie badanie liczby osób bezdomnych – Edycja 2017,</w:t>
      </w:r>
      <w:r w:rsidR="00642042" w:rsidRPr="00E11316">
        <w:rPr>
          <w:rFonts w:ascii="Arial" w:hAnsi="Arial" w:cs="Arial"/>
        </w:rPr>
        <w:t xml:space="preserve"> dostępny:</w:t>
      </w:r>
      <w:r w:rsidR="00642042" w:rsidRPr="00E11316">
        <w:rPr>
          <w:rFonts w:ascii="Arial" w:hAnsi="Arial" w:cs="Arial"/>
          <w:i/>
        </w:rPr>
        <w:t xml:space="preserve"> https://www.gov.pl/web/rodzina/edycja-2017-i,</w:t>
      </w:r>
      <w:r w:rsidR="00642042" w:rsidRPr="00E11316">
        <w:rPr>
          <w:rFonts w:ascii="Arial" w:hAnsi="Arial" w:cs="Arial"/>
        </w:rPr>
        <w:t xml:space="preserve"> dostęp: 21.11.2022 r.</w:t>
      </w:r>
    </w:p>
  </w:footnote>
  <w:footnote w:id="75">
    <w:p w:rsidR="00EC327A" w:rsidRPr="00E11316" w:rsidRDefault="00EC327A" w:rsidP="00AB1ED2">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Dane BDL GUS.</w:t>
      </w:r>
    </w:p>
  </w:footnote>
  <w:footnote w:id="76">
    <w:p w:rsidR="00B659F8" w:rsidRPr="00E11316" w:rsidRDefault="00B659F8">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Pr="00E11316">
        <w:rPr>
          <w:rFonts w:ascii="Arial" w:hAnsi="Arial" w:cs="Arial"/>
          <w:i/>
        </w:rPr>
        <w:t>Ocena zasobów pomocy</w:t>
      </w:r>
      <w:r w:rsidR="0071006D" w:rsidRPr="00E11316">
        <w:rPr>
          <w:rFonts w:ascii="Arial" w:hAnsi="Arial" w:cs="Arial"/>
        </w:rPr>
        <w:t>…, dz. cyt.</w:t>
      </w:r>
      <w:r w:rsidRPr="00E11316">
        <w:rPr>
          <w:rFonts w:ascii="Arial" w:hAnsi="Arial" w:cs="Arial"/>
        </w:rPr>
        <w:t>, s.15.</w:t>
      </w:r>
    </w:p>
  </w:footnote>
  <w:footnote w:id="77">
    <w:p w:rsidR="00B470CB" w:rsidRPr="00E11316" w:rsidRDefault="00B470CB">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w:t>
      </w:r>
      <w:r w:rsidRPr="00E11316">
        <w:rPr>
          <w:rFonts w:ascii="Arial" w:hAnsi="Arial" w:cs="Arial"/>
          <w:i/>
        </w:rPr>
        <w:t>Ocena potrzeb</w:t>
      </w:r>
      <w:r w:rsidR="0071006D" w:rsidRPr="00E11316">
        <w:rPr>
          <w:rFonts w:ascii="Arial" w:hAnsi="Arial" w:cs="Arial"/>
        </w:rPr>
        <w:t>…, dz. cyt.</w:t>
      </w:r>
      <w:r w:rsidRPr="00E11316">
        <w:rPr>
          <w:rFonts w:ascii="Arial" w:hAnsi="Arial" w:cs="Arial"/>
        </w:rPr>
        <w:t>, s.190–208.</w:t>
      </w:r>
    </w:p>
  </w:footnote>
  <w:footnote w:id="78">
    <w:p w:rsidR="00C53D80" w:rsidRPr="00E11316" w:rsidRDefault="00C53D80">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M. Kostrzyńska, P. Olech, K. Suchenek-Maksiak, J. Strączyński, </w:t>
      </w:r>
      <w:r w:rsidRPr="00E11316">
        <w:rPr>
          <w:rFonts w:ascii="Arial" w:hAnsi="Arial" w:cs="Arial"/>
          <w:i/>
        </w:rPr>
        <w:t>Usługi streetworkingu w obszarze bezdomności. Raport z badania</w:t>
      </w:r>
      <w:r w:rsidR="00D912B3" w:rsidRPr="00E11316">
        <w:rPr>
          <w:rFonts w:ascii="Arial" w:hAnsi="Arial" w:cs="Arial"/>
          <w:i/>
        </w:rPr>
        <w:t xml:space="preserve">, </w:t>
      </w:r>
      <w:r w:rsidR="00D912B3" w:rsidRPr="00E11316">
        <w:rPr>
          <w:rFonts w:ascii="Arial" w:hAnsi="Arial" w:cs="Arial"/>
        </w:rPr>
        <w:t>Zabrze 2022, s. 5</w:t>
      </w:r>
      <w:r w:rsidR="00942408" w:rsidRPr="00E11316">
        <w:rPr>
          <w:rFonts w:ascii="Arial" w:hAnsi="Arial" w:cs="Arial"/>
        </w:rPr>
        <w:t>, dostępny: https://drive.google.com/file/d/1dUcw96yN9a0w--nYsEXR2qtvZqO8MHpA/view.</w:t>
      </w:r>
    </w:p>
  </w:footnote>
  <w:footnote w:id="79">
    <w:p w:rsidR="00E3782D" w:rsidRPr="00E11316" w:rsidRDefault="00E3782D" w:rsidP="00E3782D">
      <w:pPr>
        <w:pStyle w:val="Tekstprzypisudolnego"/>
        <w:rPr>
          <w:rFonts w:ascii="Arial" w:hAnsi="Arial" w:cs="Arial"/>
        </w:rPr>
      </w:pPr>
      <w:r w:rsidRPr="00E11316">
        <w:rPr>
          <w:rStyle w:val="Odwoanieprzypisudolnego"/>
          <w:rFonts w:ascii="Arial" w:hAnsi="Arial" w:cs="Arial"/>
        </w:rPr>
        <w:footnoteRef/>
      </w:r>
      <w:r w:rsidRPr="00E11316">
        <w:rPr>
          <w:rFonts w:ascii="Arial" w:hAnsi="Arial" w:cs="Arial"/>
        </w:rPr>
        <w:t xml:space="preserve"> J. Budzyńska-Gawron, W. Cieślik, L. Węsierska-Chyc, </w:t>
      </w:r>
      <w:r w:rsidRPr="00E11316">
        <w:rPr>
          <w:rFonts w:ascii="Arial" w:hAnsi="Arial" w:cs="Arial"/>
          <w:i/>
        </w:rPr>
        <w:t>Dostępność usług opiekuńczyc</w:t>
      </w:r>
      <w:r w:rsidR="00E11316" w:rsidRPr="00E11316">
        <w:rPr>
          <w:rFonts w:ascii="Arial" w:hAnsi="Arial" w:cs="Arial"/>
          <w:i/>
        </w:rPr>
        <w:t>h</w:t>
      </w:r>
      <w:r w:rsidR="00E11316" w:rsidRPr="00E11316">
        <w:rPr>
          <w:rFonts w:ascii="Arial" w:hAnsi="Arial" w:cs="Arial"/>
        </w:rPr>
        <w:t>…, dz. cyt.</w:t>
      </w:r>
    </w:p>
  </w:footnote>
  <w:footnote w:id="80">
    <w:p w:rsidR="005038A6" w:rsidRPr="0034329A" w:rsidRDefault="005038A6" w:rsidP="005038A6">
      <w:pPr>
        <w:pStyle w:val="Tekstprzypisudolnego"/>
        <w:rPr>
          <w:rFonts w:ascii="Arial" w:hAnsi="Arial" w:cs="Arial"/>
        </w:rPr>
      </w:pPr>
      <w:r w:rsidRPr="0034329A">
        <w:rPr>
          <w:rStyle w:val="Odwoanieprzypisudolnego"/>
          <w:rFonts w:ascii="Arial" w:hAnsi="Arial" w:cs="Arial"/>
        </w:rPr>
        <w:footnoteRef/>
      </w:r>
      <w:r w:rsidRPr="0034329A">
        <w:rPr>
          <w:rFonts w:ascii="Arial" w:hAnsi="Arial" w:cs="Arial"/>
        </w:rPr>
        <w:t xml:space="preserve"> Jeśli nie wskazano inaczej, dane na podstawie których opracowano ten rozdział pochodzą ze sprawozdań jednostek pomocy społecznej „Ocena zasobów pomocy społecznej” za 2021 rok.</w:t>
      </w:r>
    </w:p>
  </w:footnote>
  <w:footnote w:id="81">
    <w:p w:rsidR="005038A6" w:rsidRPr="00C5129A" w:rsidRDefault="005038A6" w:rsidP="005038A6">
      <w:pPr>
        <w:pStyle w:val="Tekstprzypisudolnego"/>
        <w:rPr>
          <w:rFonts w:ascii="Arial" w:hAnsi="Arial" w:cs="Arial"/>
        </w:rPr>
      </w:pPr>
      <w:r w:rsidRPr="00C5129A">
        <w:rPr>
          <w:rStyle w:val="Odwoanieprzypisudolnego"/>
          <w:rFonts w:ascii="Arial" w:hAnsi="Arial" w:cs="Arial"/>
        </w:rPr>
        <w:footnoteRef/>
      </w:r>
      <w:r w:rsidRPr="00C5129A">
        <w:rPr>
          <w:rFonts w:ascii="Arial" w:hAnsi="Arial" w:cs="Arial"/>
        </w:rPr>
        <w:t xml:space="preserve"> Z informacjami o badaniu oraz wynikami można zapoznać się na stronie internetowej barometrzawodow.pl.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968D5"/>
    <w:multiLevelType w:val="hybridMultilevel"/>
    <w:tmpl w:val="1384256C"/>
    <w:lvl w:ilvl="0" w:tplc="0415000F">
      <w:start w:val="1"/>
      <w:numFmt w:val="decimal"/>
      <w:lvlText w:val="%1."/>
      <w:lvlJc w:val="left"/>
      <w:pPr>
        <w:ind w:left="0" w:firstLine="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70CD75D-9270-417E-A769-25046D37E909}"/>
  </w:docVars>
  <w:rsids>
    <w:rsidRoot w:val="000F3390"/>
    <w:rsid w:val="0000229F"/>
    <w:rsid w:val="0000276B"/>
    <w:rsid w:val="000042DE"/>
    <w:rsid w:val="00011791"/>
    <w:rsid w:val="00012A06"/>
    <w:rsid w:val="00015678"/>
    <w:rsid w:val="00016414"/>
    <w:rsid w:val="000246D2"/>
    <w:rsid w:val="000377D8"/>
    <w:rsid w:val="0004367F"/>
    <w:rsid w:val="000509B6"/>
    <w:rsid w:val="00051888"/>
    <w:rsid w:val="00054EDF"/>
    <w:rsid w:val="00055B47"/>
    <w:rsid w:val="00056E60"/>
    <w:rsid w:val="000577CA"/>
    <w:rsid w:val="00061651"/>
    <w:rsid w:val="00063F72"/>
    <w:rsid w:val="0006428D"/>
    <w:rsid w:val="00064625"/>
    <w:rsid w:val="00070F4C"/>
    <w:rsid w:val="00080827"/>
    <w:rsid w:val="00081DB5"/>
    <w:rsid w:val="00082B17"/>
    <w:rsid w:val="00084155"/>
    <w:rsid w:val="00085648"/>
    <w:rsid w:val="00087A97"/>
    <w:rsid w:val="00091722"/>
    <w:rsid w:val="00091B03"/>
    <w:rsid w:val="000976BC"/>
    <w:rsid w:val="000A0964"/>
    <w:rsid w:val="000A0DAC"/>
    <w:rsid w:val="000A1AFC"/>
    <w:rsid w:val="000A2298"/>
    <w:rsid w:val="000A2918"/>
    <w:rsid w:val="000A649C"/>
    <w:rsid w:val="000A79A9"/>
    <w:rsid w:val="000B3BA3"/>
    <w:rsid w:val="000B3FFB"/>
    <w:rsid w:val="000B5D4C"/>
    <w:rsid w:val="000C1DB3"/>
    <w:rsid w:val="000C53FE"/>
    <w:rsid w:val="000C6598"/>
    <w:rsid w:val="000C6CB9"/>
    <w:rsid w:val="000D192F"/>
    <w:rsid w:val="000D365D"/>
    <w:rsid w:val="000D7340"/>
    <w:rsid w:val="000D7EC4"/>
    <w:rsid w:val="000E291F"/>
    <w:rsid w:val="000E29F8"/>
    <w:rsid w:val="000E367C"/>
    <w:rsid w:val="000E57C6"/>
    <w:rsid w:val="000E74E0"/>
    <w:rsid w:val="000F1924"/>
    <w:rsid w:val="000F3390"/>
    <w:rsid w:val="000F62E8"/>
    <w:rsid w:val="000F7185"/>
    <w:rsid w:val="00110343"/>
    <w:rsid w:val="001133A6"/>
    <w:rsid w:val="00117707"/>
    <w:rsid w:val="0011780C"/>
    <w:rsid w:val="00126AD5"/>
    <w:rsid w:val="001271DB"/>
    <w:rsid w:val="00130577"/>
    <w:rsid w:val="00131E7A"/>
    <w:rsid w:val="00137471"/>
    <w:rsid w:val="00141408"/>
    <w:rsid w:val="001419DA"/>
    <w:rsid w:val="00141C2A"/>
    <w:rsid w:val="00142E8F"/>
    <w:rsid w:val="001447C3"/>
    <w:rsid w:val="0014579A"/>
    <w:rsid w:val="00152124"/>
    <w:rsid w:val="0015265E"/>
    <w:rsid w:val="00152B6E"/>
    <w:rsid w:val="00161CF5"/>
    <w:rsid w:val="00162AFD"/>
    <w:rsid w:val="00165D57"/>
    <w:rsid w:val="00173F1F"/>
    <w:rsid w:val="00175434"/>
    <w:rsid w:val="00175FF5"/>
    <w:rsid w:val="00180073"/>
    <w:rsid w:val="001804AC"/>
    <w:rsid w:val="00182047"/>
    <w:rsid w:val="00183A3F"/>
    <w:rsid w:val="00190118"/>
    <w:rsid w:val="001909B8"/>
    <w:rsid w:val="00193CB4"/>
    <w:rsid w:val="001950BD"/>
    <w:rsid w:val="001A2011"/>
    <w:rsid w:val="001A73A8"/>
    <w:rsid w:val="001A7750"/>
    <w:rsid w:val="001B17B5"/>
    <w:rsid w:val="001B34E5"/>
    <w:rsid w:val="001B3576"/>
    <w:rsid w:val="001B685C"/>
    <w:rsid w:val="001B7661"/>
    <w:rsid w:val="001C4EF1"/>
    <w:rsid w:val="001C6788"/>
    <w:rsid w:val="001D38F2"/>
    <w:rsid w:val="001D6023"/>
    <w:rsid w:val="001D714D"/>
    <w:rsid w:val="001D779B"/>
    <w:rsid w:val="001E6C01"/>
    <w:rsid w:val="001F205E"/>
    <w:rsid w:val="001F31DD"/>
    <w:rsid w:val="001F43AC"/>
    <w:rsid w:val="001F50AB"/>
    <w:rsid w:val="002052F9"/>
    <w:rsid w:val="00205F94"/>
    <w:rsid w:val="00206C29"/>
    <w:rsid w:val="0020767B"/>
    <w:rsid w:val="0021059B"/>
    <w:rsid w:val="00210F3F"/>
    <w:rsid w:val="002121B3"/>
    <w:rsid w:val="002140EC"/>
    <w:rsid w:val="002157AD"/>
    <w:rsid w:val="0021607E"/>
    <w:rsid w:val="002217C9"/>
    <w:rsid w:val="00226EB7"/>
    <w:rsid w:val="0022752D"/>
    <w:rsid w:val="00235252"/>
    <w:rsid w:val="00235CD6"/>
    <w:rsid w:val="0023711B"/>
    <w:rsid w:val="002452D1"/>
    <w:rsid w:val="0025247C"/>
    <w:rsid w:val="002525E6"/>
    <w:rsid w:val="002547DE"/>
    <w:rsid w:val="00256753"/>
    <w:rsid w:val="00257348"/>
    <w:rsid w:val="00261AE5"/>
    <w:rsid w:val="0026211B"/>
    <w:rsid w:val="002625D3"/>
    <w:rsid w:val="00263E0F"/>
    <w:rsid w:val="00264565"/>
    <w:rsid w:val="00264AC0"/>
    <w:rsid w:val="002655C0"/>
    <w:rsid w:val="00266EEB"/>
    <w:rsid w:val="0026754F"/>
    <w:rsid w:val="002677EA"/>
    <w:rsid w:val="00274A5F"/>
    <w:rsid w:val="00274FDB"/>
    <w:rsid w:val="0027561E"/>
    <w:rsid w:val="00277FF9"/>
    <w:rsid w:val="00280BF3"/>
    <w:rsid w:val="00282ECF"/>
    <w:rsid w:val="002862EC"/>
    <w:rsid w:val="00287374"/>
    <w:rsid w:val="002909AA"/>
    <w:rsid w:val="00295690"/>
    <w:rsid w:val="00295B66"/>
    <w:rsid w:val="0029798B"/>
    <w:rsid w:val="002A0D6F"/>
    <w:rsid w:val="002A3431"/>
    <w:rsid w:val="002A54AE"/>
    <w:rsid w:val="002A5E89"/>
    <w:rsid w:val="002A6142"/>
    <w:rsid w:val="002A757A"/>
    <w:rsid w:val="002A7C31"/>
    <w:rsid w:val="002B1AF9"/>
    <w:rsid w:val="002B27B4"/>
    <w:rsid w:val="002B3B1F"/>
    <w:rsid w:val="002B6243"/>
    <w:rsid w:val="002B7695"/>
    <w:rsid w:val="002C1408"/>
    <w:rsid w:val="002C1857"/>
    <w:rsid w:val="002C43CB"/>
    <w:rsid w:val="002C46E0"/>
    <w:rsid w:val="002C50ED"/>
    <w:rsid w:val="002C66E5"/>
    <w:rsid w:val="002C68DC"/>
    <w:rsid w:val="002D272E"/>
    <w:rsid w:val="002D49B4"/>
    <w:rsid w:val="002D5DC0"/>
    <w:rsid w:val="002E6F52"/>
    <w:rsid w:val="002F2997"/>
    <w:rsid w:val="002F6E93"/>
    <w:rsid w:val="002F777D"/>
    <w:rsid w:val="00302F69"/>
    <w:rsid w:val="00304DA3"/>
    <w:rsid w:val="0030515D"/>
    <w:rsid w:val="00306A00"/>
    <w:rsid w:val="00306C76"/>
    <w:rsid w:val="0031090F"/>
    <w:rsid w:val="00310EA7"/>
    <w:rsid w:val="00310F3A"/>
    <w:rsid w:val="00312C74"/>
    <w:rsid w:val="00314854"/>
    <w:rsid w:val="00314FE2"/>
    <w:rsid w:val="00316927"/>
    <w:rsid w:val="00323A17"/>
    <w:rsid w:val="00323CA7"/>
    <w:rsid w:val="0032467B"/>
    <w:rsid w:val="00326DC3"/>
    <w:rsid w:val="00327458"/>
    <w:rsid w:val="00330CE6"/>
    <w:rsid w:val="003326B7"/>
    <w:rsid w:val="00334D70"/>
    <w:rsid w:val="00334EBD"/>
    <w:rsid w:val="00335482"/>
    <w:rsid w:val="0034314C"/>
    <w:rsid w:val="00345BEF"/>
    <w:rsid w:val="0035103C"/>
    <w:rsid w:val="00352198"/>
    <w:rsid w:val="0035393C"/>
    <w:rsid w:val="00365C11"/>
    <w:rsid w:val="003744F8"/>
    <w:rsid w:val="003809F1"/>
    <w:rsid w:val="00380EC3"/>
    <w:rsid w:val="00382853"/>
    <w:rsid w:val="00383AB0"/>
    <w:rsid w:val="00384E7F"/>
    <w:rsid w:val="00386620"/>
    <w:rsid w:val="00387D04"/>
    <w:rsid w:val="003A3B2E"/>
    <w:rsid w:val="003A7AE3"/>
    <w:rsid w:val="003B1ED9"/>
    <w:rsid w:val="003C3B3A"/>
    <w:rsid w:val="003C48CD"/>
    <w:rsid w:val="003C69F0"/>
    <w:rsid w:val="003D7FBC"/>
    <w:rsid w:val="003E04DD"/>
    <w:rsid w:val="003E074F"/>
    <w:rsid w:val="003E08AE"/>
    <w:rsid w:val="003E2307"/>
    <w:rsid w:val="003E5381"/>
    <w:rsid w:val="003F32FD"/>
    <w:rsid w:val="003F46D9"/>
    <w:rsid w:val="003F728C"/>
    <w:rsid w:val="0040029D"/>
    <w:rsid w:val="0040318B"/>
    <w:rsid w:val="0040648D"/>
    <w:rsid w:val="00407E2F"/>
    <w:rsid w:val="00411EA0"/>
    <w:rsid w:val="00413119"/>
    <w:rsid w:val="00415268"/>
    <w:rsid w:val="0041636F"/>
    <w:rsid w:val="00416870"/>
    <w:rsid w:val="00416E08"/>
    <w:rsid w:val="00417405"/>
    <w:rsid w:val="0042311F"/>
    <w:rsid w:val="0042745B"/>
    <w:rsid w:val="0043062E"/>
    <w:rsid w:val="00430D3E"/>
    <w:rsid w:val="0043169C"/>
    <w:rsid w:val="004318CE"/>
    <w:rsid w:val="00432C01"/>
    <w:rsid w:val="00432F22"/>
    <w:rsid w:val="00434230"/>
    <w:rsid w:val="0044733F"/>
    <w:rsid w:val="004516DA"/>
    <w:rsid w:val="0045239D"/>
    <w:rsid w:val="00455B6B"/>
    <w:rsid w:val="004574E4"/>
    <w:rsid w:val="00461326"/>
    <w:rsid w:val="00467F7D"/>
    <w:rsid w:val="00471423"/>
    <w:rsid w:val="00473345"/>
    <w:rsid w:val="00476AFF"/>
    <w:rsid w:val="0048205F"/>
    <w:rsid w:val="004873B5"/>
    <w:rsid w:val="00490B5E"/>
    <w:rsid w:val="00492689"/>
    <w:rsid w:val="00494E1B"/>
    <w:rsid w:val="00497317"/>
    <w:rsid w:val="004A00EB"/>
    <w:rsid w:val="004A0144"/>
    <w:rsid w:val="004A4149"/>
    <w:rsid w:val="004A525E"/>
    <w:rsid w:val="004A5A75"/>
    <w:rsid w:val="004B012F"/>
    <w:rsid w:val="004B25A0"/>
    <w:rsid w:val="004B3C1D"/>
    <w:rsid w:val="004B6D5B"/>
    <w:rsid w:val="004B7A78"/>
    <w:rsid w:val="004C16E0"/>
    <w:rsid w:val="004C3114"/>
    <w:rsid w:val="004C6976"/>
    <w:rsid w:val="004C799D"/>
    <w:rsid w:val="004D246D"/>
    <w:rsid w:val="004D2F2B"/>
    <w:rsid w:val="004D47A2"/>
    <w:rsid w:val="004E1455"/>
    <w:rsid w:val="004F1DAC"/>
    <w:rsid w:val="004F368B"/>
    <w:rsid w:val="004F3A6D"/>
    <w:rsid w:val="004F5089"/>
    <w:rsid w:val="00500840"/>
    <w:rsid w:val="0050142B"/>
    <w:rsid w:val="005014DB"/>
    <w:rsid w:val="00503735"/>
    <w:rsid w:val="005038A6"/>
    <w:rsid w:val="00507DA8"/>
    <w:rsid w:val="00512E0F"/>
    <w:rsid w:val="005139AF"/>
    <w:rsid w:val="00522667"/>
    <w:rsid w:val="00531406"/>
    <w:rsid w:val="00532556"/>
    <w:rsid w:val="005325D0"/>
    <w:rsid w:val="005337C0"/>
    <w:rsid w:val="005361DF"/>
    <w:rsid w:val="00544E2D"/>
    <w:rsid w:val="00545252"/>
    <w:rsid w:val="00545D85"/>
    <w:rsid w:val="00546CD3"/>
    <w:rsid w:val="0055190F"/>
    <w:rsid w:val="00553EDC"/>
    <w:rsid w:val="00555B97"/>
    <w:rsid w:val="00557C77"/>
    <w:rsid w:val="00566D45"/>
    <w:rsid w:val="00566DA7"/>
    <w:rsid w:val="00567409"/>
    <w:rsid w:val="005706A8"/>
    <w:rsid w:val="00572735"/>
    <w:rsid w:val="00572E9E"/>
    <w:rsid w:val="00573BAC"/>
    <w:rsid w:val="00574387"/>
    <w:rsid w:val="00580DF9"/>
    <w:rsid w:val="005836DC"/>
    <w:rsid w:val="00587A7E"/>
    <w:rsid w:val="00590A3A"/>
    <w:rsid w:val="0059169B"/>
    <w:rsid w:val="00594203"/>
    <w:rsid w:val="005A2B4F"/>
    <w:rsid w:val="005A53C8"/>
    <w:rsid w:val="005B332C"/>
    <w:rsid w:val="005B5FB0"/>
    <w:rsid w:val="005C4C8B"/>
    <w:rsid w:val="005C6225"/>
    <w:rsid w:val="005C67D8"/>
    <w:rsid w:val="005C7406"/>
    <w:rsid w:val="005D15E3"/>
    <w:rsid w:val="005D309D"/>
    <w:rsid w:val="005D34B9"/>
    <w:rsid w:val="005D473B"/>
    <w:rsid w:val="005D4B91"/>
    <w:rsid w:val="005D7404"/>
    <w:rsid w:val="005E2880"/>
    <w:rsid w:val="005E374E"/>
    <w:rsid w:val="005E38EB"/>
    <w:rsid w:val="005E6145"/>
    <w:rsid w:val="005E62CF"/>
    <w:rsid w:val="005F0ABD"/>
    <w:rsid w:val="005F174B"/>
    <w:rsid w:val="005F3C68"/>
    <w:rsid w:val="005F4B70"/>
    <w:rsid w:val="005F595D"/>
    <w:rsid w:val="005F5F47"/>
    <w:rsid w:val="005F64F0"/>
    <w:rsid w:val="00603D87"/>
    <w:rsid w:val="006052EE"/>
    <w:rsid w:val="0061053C"/>
    <w:rsid w:val="006139AF"/>
    <w:rsid w:val="0061494D"/>
    <w:rsid w:val="006177B7"/>
    <w:rsid w:val="00621262"/>
    <w:rsid w:val="00622541"/>
    <w:rsid w:val="00622EE1"/>
    <w:rsid w:val="006237D1"/>
    <w:rsid w:val="006265A4"/>
    <w:rsid w:val="00627795"/>
    <w:rsid w:val="00630E34"/>
    <w:rsid w:val="00635494"/>
    <w:rsid w:val="0063684C"/>
    <w:rsid w:val="00636DD6"/>
    <w:rsid w:val="006401F8"/>
    <w:rsid w:val="00642042"/>
    <w:rsid w:val="00645F76"/>
    <w:rsid w:val="00646937"/>
    <w:rsid w:val="00650A89"/>
    <w:rsid w:val="006517AE"/>
    <w:rsid w:val="00656EC9"/>
    <w:rsid w:val="00657961"/>
    <w:rsid w:val="006616B0"/>
    <w:rsid w:val="00663173"/>
    <w:rsid w:val="00663505"/>
    <w:rsid w:val="00674432"/>
    <w:rsid w:val="00674535"/>
    <w:rsid w:val="00676661"/>
    <w:rsid w:val="0067683C"/>
    <w:rsid w:val="00685D4B"/>
    <w:rsid w:val="00687591"/>
    <w:rsid w:val="00687B5A"/>
    <w:rsid w:val="0069291F"/>
    <w:rsid w:val="00692F65"/>
    <w:rsid w:val="00693A00"/>
    <w:rsid w:val="00693FCE"/>
    <w:rsid w:val="00696AEC"/>
    <w:rsid w:val="00696EA8"/>
    <w:rsid w:val="00696F72"/>
    <w:rsid w:val="006A28B6"/>
    <w:rsid w:val="006A3014"/>
    <w:rsid w:val="006A3F79"/>
    <w:rsid w:val="006A5EDD"/>
    <w:rsid w:val="006C204C"/>
    <w:rsid w:val="006C21C5"/>
    <w:rsid w:val="006C34B1"/>
    <w:rsid w:val="006C6799"/>
    <w:rsid w:val="006D194E"/>
    <w:rsid w:val="006D6E8B"/>
    <w:rsid w:val="006D782C"/>
    <w:rsid w:val="006E0729"/>
    <w:rsid w:val="006E1B04"/>
    <w:rsid w:val="006E271A"/>
    <w:rsid w:val="006E654D"/>
    <w:rsid w:val="006E7923"/>
    <w:rsid w:val="006F3D35"/>
    <w:rsid w:val="006F5AC5"/>
    <w:rsid w:val="00704E8D"/>
    <w:rsid w:val="0071006D"/>
    <w:rsid w:val="007101D1"/>
    <w:rsid w:val="0071064D"/>
    <w:rsid w:val="00713E4A"/>
    <w:rsid w:val="0072057C"/>
    <w:rsid w:val="007205E2"/>
    <w:rsid w:val="00720CCC"/>
    <w:rsid w:val="007219FE"/>
    <w:rsid w:val="00722443"/>
    <w:rsid w:val="007232C8"/>
    <w:rsid w:val="00724D59"/>
    <w:rsid w:val="0072766A"/>
    <w:rsid w:val="00727B01"/>
    <w:rsid w:val="0073041C"/>
    <w:rsid w:val="0073213C"/>
    <w:rsid w:val="007327CF"/>
    <w:rsid w:val="0073317A"/>
    <w:rsid w:val="00733516"/>
    <w:rsid w:val="007355C9"/>
    <w:rsid w:val="00740B74"/>
    <w:rsid w:val="00744149"/>
    <w:rsid w:val="00750293"/>
    <w:rsid w:val="007533B2"/>
    <w:rsid w:val="007542E7"/>
    <w:rsid w:val="0075608D"/>
    <w:rsid w:val="0075651C"/>
    <w:rsid w:val="00757016"/>
    <w:rsid w:val="007577DB"/>
    <w:rsid w:val="00765A5A"/>
    <w:rsid w:val="00765C5C"/>
    <w:rsid w:val="00774EAF"/>
    <w:rsid w:val="0077547E"/>
    <w:rsid w:val="00780FEA"/>
    <w:rsid w:val="00783F4F"/>
    <w:rsid w:val="00783FBE"/>
    <w:rsid w:val="00786520"/>
    <w:rsid w:val="007919FC"/>
    <w:rsid w:val="00791D01"/>
    <w:rsid w:val="0079432B"/>
    <w:rsid w:val="007A064A"/>
    <w:rsid w:val="007A7109"/>
    <w:rsid w:val="007A7D2B"/>
    <w:rsid w:val="007B133E"/>
    <w:rsid w:val="007B2AA0"/>
    <w:rsid w:val="007C1891"/>
    <w:rsid w:val="007C6AD1"/>
    <w:rsid w:val="007C6DC2"/>
    <w:rsid w:val="007D0466"/>
    <w:rsid w:val="007D2BFB"/>
    <w:rsid w:val="007D3BA6"/>
    <w:rsid w:val="007D64CC"/>
    <w:rsid w:val="007D7ABC"/>
    <w:rsid w:val="007E42D8"/>
    <w:rsid w:val="007F169D"/>
    <w:rsid w:val="008022B4"/>
    <w:rsid w:val="00805F78"/>
    <w:rsid w:val="00806682"/>
    <w:rsid w:val="00810BAC"/>
    <w:rsid w:val="00810FE7"/>
    <w:rsid w:val="00814EB3"/>
    <w:rsid w:val="00820EC4"/>
    <w:rsid w:val="00821F7D"/>
    <w:rsid w:val="00822283"/>
    <w:rsid w:val="008255C8"/>
    <w:rsid w:val="00825CB7"/>
    <w:rsid w:val="008272AB"/>
    <w:rsid w:val="00827CC5"/>
    <w:rsid w:val="0083096D"/>
    <w:rsid w:val="00832052"/>
    <w:rsid w:val="00834DD4"/>
    <w:rsid w:val="00837B38"/>
    <w:rsid w:val="00840F10"/>
    <w:rsid w:val="00845235"/>
    <w:rsid w:val="0084776F"/>
    <w:rsid w:val="0085122E"/>
    <w:rsid w:val="00856156"/>
    <w:rsid w:val="00857384"/>
    <w:rsid w:val="008616CE"/>
    <w:rsid w:val="0086353B"/>
    <w:rsid w:val="008657C8"/>
    <w:rsid w:val="00867FDD"/>
    <w:rsid w:val="00871B30"/>
    <w:rsid w:val="00872816"/>
    <w:rsid w:val="00880C7E"/>
    <w:rsid w:val="008824EF"/>
    <w:rsid w:val="008853CB"/>
    <w:rsid w:val="00886FB3"/>
    <w:rsid w:val="008924BD"/>
    <w:rsid w:val="00892C34"/>
    <w:rsid w:val="008948F6"/>
    <w:rsid w:val="008A1491"/>
    <w:rsid w:val="008A168A"/>
    <w:rsid w:val="008A3060"/>
    <w:rsid w:val="008A3C42"/>
    <w:rsid w:val="008A5A3F"/>
    <w:rsid w:val="008B3919"/>
    <w:rsid w:val="008B4A8B"/>
    <w:rsid w:val="008B57C8"/>
    <w:rsid w:val="008B6026"/>
    <w:rsid w:val="008C21D9"/>
    <w:rsid w:val="008C4045"/>
    <w:rsid w:val="008C44AF"/>
    <w:rsid w:val="008C5A39"/>
    <w:rsid w:val="008D0D21"/>
    <w:rsid w:val="008D1268"/>
    <w:rsid w:val="008D3840"/>
    <w:rsid w:val="008D770C"/>
    <w:rsid w:val="008E0387"/>
    <w:rsid w:val="008E52B8"/>
    <w:rsid w:val="008E7432"/>
    <w:rsid w:val="008F01D1"/>
    <w:rsid w:val="008F0355"/>
    <w:rsid w:val="008F0ED9"/>
    <w:rsid w:val="008F3BBE"/>
    <w:rsid w:val="008F4BB5"/>
    <w:rsid w:val="00900386"/>
    <w:rsid w:val="0090070E"/>
    <w:rsid w:val="00901D84"/>
    <w:rsid w:val="00906BC7"/>
    <w:rsid w:val="00906E81"/>
    <w:rsid w:val="00912A69"/>
    <w:rsid w:val="00915BDB"/>
    <w:rsid w:val="009165C0"/>
    <w:rsid w:val="00916E89"/>
    <w:rsid w:val="0093143D"/>
    <w:rsid w:val="00932FE3"/>
    <w:rsid w:val="00934E0C"/>
    <w:rsid w:val="00937289"/>
    <w:rsid w:val="0093753D"/>
    <w:rsid w:val="0094017A"/>
    <w:rsid w:val="00942408"/>
    <w:rsid w:val="009516FF"/>
    <w:rsid w:val="009544D0"/>
    <w:rsid w:val="009547E8"/>
    <w:rsid w:val="00956E82"/>
    <w:rsid w:val="00960BC7"/>
    <w:rsid w:val="00963689"/>
    <w:rsid w:val="00972018"/>
    <w:rsid w:val="0097209C"/>
    <w:rsid w:val="00972FCD"/>
    <w:rsid w:val="009810AD"/>
    <w:rsid w:val="0098256F"/>
    <w:rsid w:val="00985A01"/>
    <w:rsid w:val="00985B00"/>
    <w:rsid w:val="0098639F"/>
    <w:rsid w:val="009908DA"/>
    <w:rsid w:val="00994CEC"/>
    <w:rsid w:val="009B04BB"/>
    <w:rsid w:val="009B1E3D"/>
    <w:rsid w:val="009B44BE"/>
    <w:rsid w:val="009B59CA"/>
    <w:rsid w:val="009C5B1F"/>
    <w:rsid w:val="009C75AE"/>
    <w:rsid w:val="009C78A4"/>
    <w:rsid w:val="009D0E18"/>
    <w:rsid w:val="009D14E3"/>
    <w:rsid w:val="009D1D09"/>
    <w:rsid w:val="009D27F2"/>
    <w:rsid w:val="009D2E46"/>
    <w:rsid w:val="009D2E8B"/>
    <w:rsid w:val="009D37B9"/>
    <w:rsid w:val="009D3966"/>
    <w:rsid w:val="009D407F"/>
    <w:rsid w:val="009D69AB"/>
    <w:rsid w:val="009D7D91"/>
    <w:rsid w:val="009E10FF"/>
    <w:rsid w:val="009E224D"/>
    <w:rsid w:val="009E342F"/>
    <w:rsid w:val="009E5A01"/>
    <w:rsid w:val="009E5BE1"/>
    <w:rsid w:val="009E5E5F"/>
    <w:rsid w:val="009F2AE7"/>
    <w:rsid w:val="00A00748"/>
    <w:rsid w:val="00A012AE"/>
    <w:rsid w:val="00A04763"/>
    <w:rsid w:val="00A063F6"/>
    <w:rsid w:val="00A10BFC"/>
    <w:rsid w:val="00A11B75"/>
    <w:rsid w:val="00A1288F"/>
    <w:rsid w:val="00A17B41"/>
    <w:rsid w:val="00A2255E"/>
    <w:rsid w:val="00A231FA"/>
    <w:rsid w:val="00A3228B"/>
    <w:rsid w:val="00A324BA"/>
    <w:rsid w:val="00A372BF"/>
    <w:rsid w:val="00A37583"/>
    <w:rsid w:val="00A436BB"/>
    <w:rsid w:val="00A461BE"/>
    <w:rsid w:val="00A46653"/>
    <w:rsid w:val="00A521B2"/>
    <w:rsid w:val="00A61E52"/>
    <w:rsid w:val="00A6253F"/>
    <w:rsid w:val="00A6417C"/>
    <w:rsid w:val="00A655FA"/>
    <w:rsid w:val="00A66E10"/>
    <w:rsid w:val="00A704E8"/>
    <w:rsid w:val="00A715D7"/>
    <w:rsid w:val="00A720DA"/>
    <w:rsid w:val="00A776BA"/>
    <w:rsid w:val="00A863AC"/>
    <w:rsid w:val="00A870B0"/>
    <w:rsid w:val="00A87596"/>
    <w:rsid w:val="00A8784B"/>
    <w:rsid w:val="00A90033"/>
    <w:rsid w:val="00A91725"/>
    <w:rsid w:val="00A91D40"/>
    <w:rsid w:val="00A91FA7"/>
    <w:rsid w:val="00A94028"/>
    <w:rsid w:val="00A95A6D"/>
    <w:rsid w:val="00AA1AFB"/>
    <w:rsid w:val="00AA29E0"/>
    <w:rsid w:val="00AA3684"/>
    <w:rsid w:val="00AA6025"/>
    <w:rsid w:val="00AA7786"/>
    <w:rsid w:val="00AB0D2B"/>
    <w:rsid w:val="00AB1ED2"/>
    <w:rsid w:val="00AB2BAC"/>
    <w:rsid w:val="00AB6398"/>
    <w:rsid w:val="00AC1D20"/>
    <w:rsid w:val="00AC26A2"/>
    <w:rsid w:val="00AC33D2"/>
    <w:rsid w:val="00AC363C"/>
    <w:rsid w:val="00AD16B6"/>
    <w:rsid w:val="00AD6615"/>
    <w:rsid w:val="00AD7CD5"/>
    <w:rsid w:val="00AE42B7"/>
    <w:rsid w:val="00AE5484"/>
    <w:rsid w:val="00AF00F7"/>
    <w:rsid w:val="00AF38D3"/>
    <w:rsid w:val="00AF44EB"/>
    <w:rsid w:val="00AF5DB8"/>
    <w:rsid w:val="00AF7C89"/>
    <w:rsid w:val="00B1201D"/>
    <w:rsid w:val="00B1273D"/>
    <w:rsid w:val="00B16687"/>
    <w:rsid w:val="00B17650"/>
    <w:rsid w:val="00B22318"/>
    <w:rsid w:val="00B25C29"/>
    <w:rsid w:val="00B26AD8"/>
    <w:rsid w:val="00B3260C"/>
    <w:rsid w:val="00B3377D"/>
    <w:rsid w:val="00B413DE"/>
    <w:rsid w:val="00B41975"/>
    <w:rsid w:val="00B43774"/>
    <w:rsid w:val="00B45C39"/>
    <w:rsid w:val="00B46B0F"/>
    <w:rsid w:val="00B46ECB"/>
    <w:rsid w:val="00B470CB"/>
    <w:rsid w:val="00B47C95"/>
    <w:rsid w:val="00B50D55"/>
    <w:rsid w:val="00B52251"/>
    <w:rsid w:val="00B52309"/>
    <w:rsid w:val="00B57545"/>
    <w:rsid w:val="00B577B6"/>
    <w:rsid w:val="00B60067"/>
    <w:rsid w:val="00B65185"/>
    <w:rsid w:val="00B659F8"/>
    <w:rsid w:val="00B66693"/>
    <w:rsid w:val="00B72AF5"/>
    <w:rsid w:val="00B73008"/>
    <w:rsid w:val="00B80B09"/>
    <w:rsid w:val="00B81847"/>
    <w:rsid w:val="00B83808"/>
    <w:rsid w:val="00B86F65"/>
    <w:rsid w:val="00B87B2B"/>
    <w:rsid w:val="00B909B2"/>
    <w:rsid w:val="00BA0777"/>
    <w:rsid w:val="00BA09E1"/>
    <w:rsid w:val="00BA41DE"/>
    <w:rsid w:val="00BA6435"/>
    <w:rsid w:val="00BA7EC6"/>
    <w:rsid w:val="00BB1F87"/>
    <w:rsid w:val="00BB5252"/>
    <w:rsid w:val="00BC0433"/>
    <w:rsid w:val="00BC0489"/>
    <w:rsid w:val="00BC1B8D"/>
    <w:rsid w:val="00BC38A8"/>
    <w:rsid w:val="00BC68E7"/>
    <w:rsid w:val="00BD5917"/>
    <w:rsid w:val="00BD65B8"/>
    <w:rsid w:val="00BD6BB7"/>
    <w:rsid w:val="00BD76BF"/>
    <w:rsid w:val="00BE05B2"/>
    <w:rsid w:val="00BE0EAE"/>
    <w:rsid w:val="00BE17C9"/>
    <w:rsid w:val="00BE4179"/>
    <w:rsid w:val="00BE4908"/>
    <w:rsid w:val="00BE4E30"/>
    <w:rsid w:val="00BE69D0"/>
    <w:rsid w:val="00BE6B72"/>
    <w:rsid w:val="00BF31C0"/>
    <w:rsid w:val="00BF434B"/>
    <w:rsid w:val="00BF6577"/>
    <w:rsid w:val="00C029D7"/>
    <w:rsid w:val="00C0743C"/>
    <w:rsid w:val="00C10C0A"/>
    <w:rsid w:val="00C10E5F"/>
    <w:rsid w:val="00C14224"/>
    <w:rsid w:val="00C16E9A"/>
    <w:rsid w:val="00C2141A"/>
    <w:rsid w:val="00C23B07"/>
    <w:rsid w:val="00C24815"/>
    <w:rsid w:val="00C31E08"/>
    <w:rsid w:val="00C35AAB"/>
    <w:rsid w:val="00C361F5"/>
    <w:rsid w:val="00C3670A"/>
    <w:rsid w:val="00C36B6F"/>
    <w:rsid w:val="00C40C09"/>
    <w:rsid w:val="00C4180A"/>
    <w:rsid w:val="00C42DD4"/>
    <w:rsid w:val="00C436AC"/>
    <w:rsid w:val="00C43E26"/>
    <w:rsid w:val="00C505C5"/>
    <w:rsid w:val="00C5203F"/>
    <w:rsid w:val="00C52184"/>
    <w:rsid w:val="00C5359D"/>
    <w:rsid w:val="00C53D80"/>
    <w:rsid w:val="00C54784"/>
    <w:rsid w:val="00C5517E"/>
    <w:rsid w:val="00C56B1D"/>
    <w:rsid w:val="00C61221"/>
    <w:rsid w:val="00C617B7"/>
    <w:rsid w:val="00C63984"/>
    <w:rsid w:val="00C70944"/>
    <w:rsid w:val="00C83636"/>
    <w:rsid w:val="00C87AF7"/>
    <w:rsid w:val="00C91AB4"/>
    <w:rsid w:val="00C92E69"/>
    <w:rsid w:val="00C92EA2"/>
    <w:rsid w:val="00C9327F"/>
    <w:rsid w:val="00C9398A"/>
    <w:rsid w:val="00C942DB"/>
    <w:rsid w:val="00CA1A90"/>
    <w:rsid w:val="00CA7C36"/>
    <w:rsid w:val="00CB5BB4"/>
    <w:rsid w:val="00CC14B2"/>
    <w:rsid w:val="00CC3697"/>
    <w:rsid w:val="00CC4DD6"/>
    <w:rsid w:val="00CC5516"/>
    <w:rsid w:val="00CD75C5"/>
    <w:rsid w:val="00CD7943"/>
    <w:rsid w:val="00CE034B"/>
    <w:rsid w:val="00CE760C"/>
    <w:rsid w:val="00CE7836"/>
    <w:rsid w:val="00CE7CD7"/>
    <w:rsid w:val="00CF3735"/>
    <w:rsid w:val="00CF7D30"/>
    <w:rsid w:val="00D02B44"/>
    <w:rsid w:val="00D03F4A"/>
    <w:rsid w:val="00D0526C"/>
    <w:rsid w:val="00D1026F"/>
    <w:rsid w:val="00D1039C"/>
    <w:rsid w:val="00D1044D"/>
    <w:rsid w:val="00D10C20"/>
    <w:rsid w:val="00D12F1A"/>
    <w:rsid w:val="00D164BC"/>
    <w:rsid w:val="00D30AF4"/>
    <w:rsid w:val="00D3510A"/>
    <w:rsid w:val="00D40169"/>
    <w:rsid w:val="00D40422"/>
    <w:rsid w:val="00D41787"/>
    <w:rsid w:val="00D430AE"/>
    <w:rsid w:val="00D434D6"/>
    <w:rsid w:val="00D437FF"/>
    <w:rsid w:val="00D45ABE"/>
    <w:rsid w:val="00D47D6D"/>
    <w:rsid w:val="00D508F7"/>
    <w:rsid w:val="00D5474C"/>
    <w:rsid w:val="00D5575D"/>
    <w:rsid w:val="00D57994"/>
    <w:rsid w:val="00D6163F"/>
    <w:rsid w:val="00D628C2"/>
    <w:rsid w:val="00D65505"/>
    <w:rsid w:val="00D72EDE"/>
    <w:rsid w:val="00D742FD"/>
    <w:rsid w:val="00D74B7A"/>
    <w:rsid w:val="00D76002"/>
    <w:rsid w:val="00D83549"/>
    <w:rsid w:val="00D83E80"/>
    <w:rsid w:val="00D85232"/>
    <w:rsid w:val="00D85591"/>
    <w:rsid w:val="00D858CA"/>
    <w:rsid w:val="00D86396"/>
    <w:rsid w:val="00D87049"/>
    <w:rsid w:val="00D90F0A"/>
    <w:rsid w:val="00D912B3"/>
    <w:rsid w:val="00D9242F"/>
    <w:rsid w:val="00D92C1B"/>
    <w:rsid w:val="00D968C2"/>
    <w:rsid w:val="00DA2840"/>
    <w:rsid w:val="00DA2D4B"/>
    <w:rsid w:val="00DA7F0D"/>
    <w:rsid w:val="00DD1C1B"/>
    <w:rsid w:val="00DE1BF9"/>
    <w:rsid w:val="00DE3918"/>
    <w:rsid w:val="00DE4F6C"/>
    <w:rsid w:val="00DE57A9"/>
    <w:rsid w:val="00DE6C1F"/>
    <w:rsid w:val="00DE7AEF"/>
    <w:rsid w:val="00DE7E15"/>
    <w:rsid w:val="00DF02E9"/>
    <w:rsid w:val="00DF25F8"/>
    <w:rsid w:val="00DF26E6"/>
    <w:rsid w:val="00DF3D19"/>
    <w:rsid w:val="00DF684A"/>
    <w:rsid w:val="00DF6EC8"/>
    <w:rsid w:val="00E00BF4"/>
    <w:rsid w:val="00E01D4C"/>
    <w:rsid w:val="00E01FBA"/>
    <w:rsid w:val="00E0303C"/>
    <w:rsid w:val="00E03ADF"/>
    <w:rsid w:val="00E10406"/>
    <w:rsid w:val="00E1059B"/>
    <w:rsid w:val="00E11316"/>
    <w:rsid w:val="00E2320A"/>
    <w:rsid w:val="00E2345C"/>
    <w:rsid w:val="00E328D5"/>
    <w:rsid w:val="00E3340A"/>
    <w:rsid w:val="00E36C60"/>
    <w:rsid w:val="00E3782D"/>
    <w:rsid w:val="00E4411D"/>
    <w:rsid w:val="00E5028A"/>
    <w:rsid w:val="00E51F38"/>
    <w:rsid w:val="00E52D5A"/>
    <w:rsid w:val="00E55137"/>
    <w:rsid w:val="00E57324"/>
    <w:rsid w:val="00E643FB"/>
    <w:rsid w:val="00E6442D"/>
    <w:rsid w:val="00E661DC"/>
    <w:rsid w:val="00E67C61"/>
    <w:rsid w:val="00E725DF"/>
    <w:rsid w:val="00E735F3"/>
    <w:rsid w:val="00E739B7"/>
    <w:rsid w:val="00E7658B"/>
    <w:rsid w:val="00E83D0B"/>
    <w:rsid w:val="00E846CD"/>
    <w:rsid w:val="00E8516D"/>
    <w:rsid w:val="00E929BE"/>
    <w:rsid w:val="00E94231"/>
    <w:rsid w:val="00E9454F"/>
    <w:rsid w:val="00E95316"/>
    <w:rsid w:val="00E97D75"/>
    <w:rsid w:val="00EA3206"/>
    <w:rsid w:val="00EB2EA2"/>
    <w:rsid w:val="00EC1AD1"/>
    <w:rsid w:val="00EC1C21"/>
    <w:rsid w:val="00EC25C4"/>
    <w:rsid w:val="00EC327A"/>
    <w:rsid w:val="00EC395B"/>
    <w:rsid w:val="00EC4C8A"/>
    <w:rsid w:val="00EC762F"/>
    <w:rsid w:val="00EC7E36"/>
    <w:rsid w:val="00ED169B"/>
    <w:rsid w:val="00ED41C5"/>
    <w:rsid w:val="00EF01FC"/>
    <w:rsid w:val="00EF1136"/>
    <w:rsid w:val="00EF1B34"/>
    <w:rsid w:val="00EF4414"/>
    <w:rsid w:val="00EF54A2"/>
    <w:rsid w:val="00EF640E"/>
    <w:rsid w:val="00EF74B1"/>
    <w:rsid w:val="00F00F1F"/>
    <w:rsid w:val="00F05A87"/>
    <w:rsid w:val="00F0618A"/>
    <w:rsid w:val="00F124EE"/>
    <w:rsid w:val="00F133B6"/>
    <w:rsid w:val="00F16ED9"/>
    <w:rsid w:val="00F17BEF"/>
    <w:rsid w:val="00F231E6"/>
    <w:rsid w:val="00F23823"/>
    <w:rsid w:val="00F24719"/>
    <w:rsid w:val="00F25BFB"/>
    <w:rsid w:val="00F265D1"/>
    <w:rsid w:val="00F270C3"/>
    <w:rsid w:val="00F32F50"/>
    <w:rsid w:val="00F40D24"/>
    <w:rsid w:val="00F4250F"/>
    <w:rsid w:val="00F427B7"/>
    <w:rsid w:val="00F43974"/>
    <w:rsid w:val="00F43B89"/>
    <w:rsid w:val="00F45C31"/>
    <w:rsid w:val="00F56D44"/>
    <w:rsid w:val="00F609A4"/>
    <w:rsid w:val="00F63242"/>
    <w:rsid w:val="00F6485D"/>
    <w:rsid w:val="00F71378"/>
    <w:rsid w:val="00F74908"/>
    <w:rsid w:val="00F762CD"/>
    <w:rsid w:val="00F76AC2"/>
    <w:rsid w:val="00F77148"/>
    <w:rsid w:val="00F80295"/>
    <w:rsid w:val="00F809F2"/>
    <w:rsid w:val="00F81313"/>
    <w:rsid w:val="00F81A9A"/>
    <w:rsid w:val="00F82CE6"/>
    <w:rsid w:val="00F82DF8"/>
    <w:rsid w:val="00F8514D"/>
    <w:rsid w:val="00F851BF"/>
    <w:rsid w:val="00F85F76"/>
    <w:rsid w:val="00F86012"/>
    <w:rsid w:val="00F9268B"/>
    <w:rsid w:val="00F92DC0"/>
    <w:rsid w:val="00F96AEA"/>
    <w:rsid w:val="00F96B36"/>
    <w:rsid w:val="00FA22B8"/>
    <w:rsid w:val="00FA36F3"/>
    <w:rsid w:val="00FA6CFD"/>
    <w:rsid w:val="00FB11E5"/>
    <w:rsid w:val="00FB3CF7"/>
    <w:rsid w:val="00FB40CF"/>
    <w:rsid w:val="00FB42A1"/>
    <w:rsid w:val="00FB4628"/>
    <w:rsid w:val="00FB72D4"/>
    <w:rsid w:val="00FC0E22"/>
    <w:rsid w:val="00FC5D32"/>
    <w:rsid w:val="00FC6364"/>
    <w:rsid w:val="00FC7649"/>
    <w:rsid w:val="00FD0F5E"/>
    <w:rsid w:val="00FD4A7E"/>
    <w:rsid w:val="00FD60E8"/>
    <w:rsid w:val="00FD623B"/>
    <w:rsid w:val="00FD743F"/>
    <w:rsid w:val="00FD7B08"/>
    <w:rsid w:val="00FD7C6D"/>
    <w:rsid w:val="00FE2DBA"/>
    <w:rsid w:val="00FE3C20"/>
    <w:rsid w:val="00FE5D78"/>
    <w:rsid w:val="00FF008F"/>
    <w:rsid w:val="00FF0733"/>
    <w:rsid w:val="00FF11FA"/>
    <w:rsid w:val="00FF3243"/>
    <w:rsid w:val="00FF481B"/>
    <w:rsid w:val="00FF4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0C35E-EAB1-468A-BE4B-AAA0E074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C762F"/>
    <w:pPr>
      <w:keepNext/>
      <w:keepLines/>
      <w:spacing w:before="240" w:after="0"/>
      <w:outlineLvl w:val="0"/>
    </w:pPr>
    <w:rPr>
      <w:rFonts w:ascii="Arial" w:eastAsiaTheme="majorEastAsia" w:hAnsi="Arial" w:cstheme="majorBidi"/>
      <w:b/>
      <w:sz w:val="32"/>
      <w:szCs w:val="32"/>
    </w:rPr>
  </w:style>
  <w:style w:type="paragraph" w:styleId="Nagwek2">
    <w:name w:val="heading 2"/>
    <w:basedOn w:val="Normalny"/>
    <w:link w:val="Nagwek2Znak"/>
    <w:uiPriority w:val="9"/>
    <w:qFormat/>
    <w:rsid w:val="00EC762F"/>
    <w:pPr>
      <w:spacing w:before="100" w:beforeAutospacing="1" w:after="100" w:afterAutospacing="1" w:line="240" w:lineRule="auto"/>
      <w:outlineLvl w:val="1"/>
    </w:pPr>
    <w:rPr>
      <w:rFonts w:ascii="Arial" w:eastAsia="Times New Roman" w:hAnsi="Arial" w:cs="Times New Roman"/>
      <w:b/>
      <w:bCs/>
      <w:sz w:val="28"/>
      <w:szCs w:val="36"/>
      <w:lang w:eastAsia="pl-PL"/>
    </w:rPr>
  </w:style>
  <w:style w:type="paragraph" w:styleId="Nagwek3">
    <w:name w:val="heading 3"/>
    <w:basedOn w:val="Normalny"/>
    <w:next w:val="Normalny"/>
    <w:link w:val="Nagwek3Znak"/>
    <w:uiPriority w:val="9"/>
    <w:unhideWhenUsed/>
    <w:qFormat/>
    <w:rsid w:val="00382853"/>
    <w:pPr>
      <w:keepNext/>
      <w:keepLines/>
      <w:spacing w:before="40" w:after="0"/>
      <w:outlineLvl w:val="2"/>
    </w:pPr>
    <w:rPr>
      <w:rFonts w:ascii="Arial" w:eastAsiaTheme="majorEastAsia" w:hAnsi="Arial"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714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71423"/>
    <w:rPr>
      <w:sz w:val="20"/>
      <w:szCs w:val="20"/>
    </w:rPr>
  </w:style>
  <w:style w:type="character" w:styleId="Odwoanieprzypisudolnego">
    <w:name w:val="footnote reference"/>
    <w:basedOn w:val="Domylnaczcionkaakapitu"/>
    <w:uiPriority w:val="99"/>
    <w:semiHidden/>
    <w:unhideWhenUsed/>
    <w:rsid w:val="00471423"/>
    <w:rPr>
      <w:vertAlign w:val="superscript"/>
    </w:rPr>
  </w:style>
  <w:style w:type="character" w:styleId="Hipercze">
    <w:name w:val="Hyperlink"/>
    <w:basedOn w:val="Domylnaczcionkaakapitu"/>
    <w:uiPriority w:val="99"/>
    <w:unhideWhenUsed/>
    <w:rsid w:val="0035103C"/>
    <w:rPr>
      <w:color w:val="0563C1" w:themeColor="hyperlink"/>
      <w:u w:val="single"/>
    </w:rPr>
  </w:style>
  <w:style w:type="character" w:customStyle="1" w:styleId="UnresolvedMention">
    <w:name w:val="Unresolved Mention"/>
    <w:basedOn w:val="Domylnaczcionkaakapitu"/>
    <w:uiPriority w:val="99"/>
    <w:semiHidden/>
    <w:unhideWhenUsed/>
    <w:rsid w:val="0035103C"/>
    <w:rPr>
      <w:color w:val="605E5C"/>
      <w:shd w:val="clear" w:color="auto" w:fill="E1DFDD"/>
    </w:rPr>
  </w:style>
  <w:style w:type="paragraph" w:styleId="Tekstprzypisukocowego">
    <w:name w:val="endnote text"/>
    <w:basedOn w:val="Normalny"/>
    <w:link w:val="TekstprzypisukocowegoZnak"/>
    <w:uiPriority w:val="99"/>
    <w:semiHidden/>
    <w:unhideWhenUsed/>
    <w:rsid w:val="00900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070E"/>
    <w:rPr>
      <w:sz w:val="20"/>
      <w:szCs w:val="20"/>
    </w:rPr>
  </w:style>
  <w:style w:type="character" w:styleId="Odwoanieprzypisukocowego">
    <w:name w:val="endnote reference"/>
    <w:basedOn w:val="Domylnaczcionkaakapitu"/>
    <w:uiPriority w:val="99"/>
    <w:semiHidden/>
    <w:unhideWhenUsed/>
    <w:rsid w:val="0090070E"/>
    <w:rPr>
      <w:vertAlign w:val="superscript"/>
    </w:rPr>
  </w:style>
  <w:style w:type="character" w:styleId="Odwoaniedokomentarza">
    <w:name w:val="annotation reference"/>
    <w:basedOn w:val="Domylnaczcionkaakapitu"/>
    <w:uiPriority w:val="99"/>
    <w:semiHidden/>
    <w:unhideWhenUsed/>
    <w:rsid w:val="001D714D"/>
    <w:rPr>
      <w:sz w:val="16"/>
      <w:szCs w:val="16"/>
    </w:rPr>
  </w:style>
  <w:style w:type="paragraph" w:styleId="Tekstkomentarza">
    <w:name w:val="annotation text"/>
    <w:basedOn w:val="Normalny"/>
    <w:link w:val="TekstkomentarzaZnak"/>
    <w:uiPriority w:val="99"/>
    <w:semiHidden/>
    <w:unhideWhenUsed/>
    <w:rsid w:val="001D71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714D"/>
    <w:rPr>
      <w:sz w:val="20"/>
      <w:szCs w:val="20"/>
    </w:rPr>
  </w:style>
  <w:style w:type="paragraph" w:styleId="Tematkomentarza">
    <w:name w:val="annotation subject"/>
    <w:basedOn w:val="Tekstkomentarza"/>
    <w:next w:val="Tekstkomentarza"/>
    <w:link w:val="TematkomentarzaZnak"/>
    <w:uiPriority w:val="99"/>
    <w:semiHidden/>
    <w:unhideWhenUsed/>
    <w:rsid w:val="001D714D"/>
    <w:rPr>
      <w:b/>
      <w:bCs/>
    </w:rPr>
  </w:style>
  <w:style w:type="character" w:customStyle="1" w:styleId="TematkomentarzaZnak">
    <w:name w:val="Temat komentarza Znak"/>
    <w:basedOn w:val="TekstkomentarzaZnak"/>
    <w:link w:val="Tematkomentarza"/>
    <w:uiPriority w:val="99"/>
    <w:semiHidden/>
    <w:rsid w:val="001D714D"/>
    <w:rPr>
      <w:b/>
      <w:bCs/>
      <w:sz w:val="20"/>
      <w:szCs w:val="20"/>
    </w:rPr>
  </w:style>
  <w:style w:type="paragraph" w:styleId="Tekstdymka">
    <w:name w:val="Balloon Text"/>
    <w:basedOn w:val="Normalny"/>
    <w:link w:val="TekstdymkaZnak"/>
    <w:uiPriority w:val="99"/>
    <w:semiHidden/>
    <w:unhideWhenUsed/>
    <w:rsid w:val="001D71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714D"/>
    <w:rPr>
      <w:rFonts w:ascii="Segoe UI" w:hAnsi="Segoe UI" w:cs="Segoe UI"/>
      <w:sz w:val="18"/>
      <w:szCs w:val="18"/>
    </w:rPr>
  </w:style>
  <w:style w:type="paragraph" w:customStyle="1" w:styleId="Default">
    <w:name w:val="Default"/>
    <w:rsid w:val="00AD6615"/>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EC762F"/>
    <w:rPr>
      <w:rFonts w:ascii="Arial" w:eastAsia="Times New Roman" w:hAnsi="Arial" w:cs="Times New Roman"/>
      <w:b/>
      <w:bCs/>
      <w:sz w:val="28"/>
      <w:szCs w:val="36"/>
      <w:lang w:eastAsia="pl-PL"/>
    </w:rPr>
  </w:style>
  <w:style w:type="paragraph" w:styleId="Nagwek">
    <w:name w:val="header"/>
    <w:basedOn w:val="Normalny"/>
    <w:link w:val="NagwekZnak"/>
    <w:uiPriority w:val="99"/>
    <w:unhideWhenUsed/>
    <w:rsid w:val="002909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A"/>
  </w:style>
  <w:style w:type="paragraph" w:styleId="Stopka">
    <w:name w:val="footer"/>
    <w:basedOn w:val="Normalny"/>
    <w:link w:val="StopkaZnak"/>
    <w:uiPriority w:val="99"/>
    <w:unhideWhenUsed/>
    <w:rsid w:val="002909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A"/>
  </w:style>
  <w:style w:type="character" w:customStyle="1" w:styleId="Nagwek1Znak">
    <w:name w:val="Nagłówek 1 Znak"/>
    <w:basedOn w:val="Domylnaczcionkaakapitu"/>
    <w:link w:val="Nagwek1"/>
    <w:uiPriority w:val="9"/>
    <w:rsid w:val="00EC762F"/>
    <w:rPr>
      <w:rFonts w:ascii="Arial" w:eastAsiaTheme="majorEastAsia" w:hAnsi="Arial" w:cstheme="majorBidi"/>
      <w:b/>
      <w:sz w:val="32"/>
      <w:szCs w:val="32"/>
    </w:rPr>
  </w:style>
  <w:style w:type="character" w:customStyle="1" w:styleId="Nagwek3Znak">
    <w:name w:val="Nagłówek 3 Znak"/>
    <w:basedOn w:val="Domylnaczcionkaakapitu"/>
    <w:link w:val="Nagwek3"/>
    <w:uiPriority w:val="9"/>
    <w:rsid w:val="00382853"/>
    <w:rPr>
      <w:rFonts w:ascii="Arial" w:eastAsiaTheme="majorEastAsia" w:hAnsi="Arial" w:cstheme="majorBidi"/>
      <w:b/>
      <w:sz w:val="24"/>
      <w:szCs w:val="24"/>
    </w:rPr>
  </w:style>
  <w:style w:type="paragraph" w:styleId="Akapitzlist">
    <w:name w:val="List Paragraph"/>
    <w:aliases w:val="Wykres,EPL lista punktowana z wyrózneniem,A_wyliczenie,K-P_odwolanie,Akapit z listą5,maz_wyliczenie,opis dzialania,1st level - Bullet List Paragraph,Lettre d'introduction,Normal bullet 2,Bullet list,Listenabsatz,Numerowanie,List Paragraph"/>
    <w:basedOn w:val="Normalny"/>
    <w:link w:val="AkapitzlistZnak"/>
    <w:uiPriority w:val="34"/>
    <w:qFormat/>
    <w:rsid w:val="00F82CE6"/>
    <w:pPr>
      <w:spacing w:before="240" w:after="240" w:line="240" w:lineRule="auto"/>
      <w:ind w:left="720"/>
      <w:contextualSpacing/>
      <w:jc w:val="both"/>
    </w:pPr>
    <w:rPr>
      <w:rFonts w:ascii="Arial" w:eastAsia="Times New Roman" w:hAnsi="Arial" w:cs="Arial"/>
      <w:szCs w:val="20"/>
    </w:rPr>
  </w:style>
  <w:style w:type="character" w:customStyle="1" w:styleId="AkapitzlistZnak">
    <w:name w:val="Akapit z listą Znak"/>
    <w:aliases w:val="Wykres Znak,EPL lista punktowana z wyrózneniem Znak,A_wyliczenie Znak,K-P_odwolanie Znak,Akapit z listą5 Znak,maz_wyliczenie Znak,opis dzialania Znak,1st level - Bullet List Paragraph Znak,Lettre d'introduction Znak,Bullet list Znak"/>
    <w:link w:val="Akapitzlist"/>
    <w:uiPriority w:val="34"/>
    <w:qFormat/>
    <w:locked/>
    <w:rsid w:val="00F82CE6"/>
    <w:rPr>
      <w:rFonts w:ascii="Arial" w:eastAsia="Times New Roman" w:hAnsi="Arial" w:cs="Arial"/>
      <w:szCs w:val="20"/>
    </w:rPr>
  </w:style>
  <w:style w:type="paragraph" w:styleId="Bezodstpw">
    <w:name w:val="No Spacing"/>
    <w:link w:val="BezodstpwZnak"/>
    <w:uiPriority w:val="1"/>
    <w:qFormat/>
    <w:rsid w:val="00B577B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B577B6"/>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098506">
      <w:bodyDiv w:val="1"/>
      <w:marLeft w:val="0"/>
      <w:marRight w:val="0"/>
      <w:marTop w:val="0"/>
      <w:marBottom w:val="0"/>
      <w:divBdr>
        <w:top w:val="none" w:sz="0" w:space="0" w:color="auto"/>
        <w:left w:val="none" w:sz="0" w:space="0" w:color="auto"/>
        <w:bottom w:val="none" w:sz="0" w:space="0" w:color="auto"/>
        <w:right w:val="none" w:sz="0" w:space="0" w:color="auto"/>
      </w:divBdr>
    </w:div>
    <w:div w:id="961377660">
      <w:bodyDiv w:val="1"/>
      <w:marLeft w:val="0"/>
      <w:marRight w:val="0"/>
      <w:marTop w:val="0"/>
      <w:marBottom w:val="0"/>
      <w:divBdr>
        <w:top w:val="none" w:sz="0" w:space="0" w:color="auto"/>
        <w:left w:val="none" w:sz="0" w:space="0" w:color="auto"/>
        <w:bottom w:val="none" w:sz="0" w:space="0" w:color="auto"/>
        <w:right w:val="none" w:sz="0" w:space="0" w:color="auto"/>
      </w:divBdr>
    </w:div>
    <w:div w:id="987901693">
      <w:bodyDiv w:val="1"/>
      <w:marLeft w:val="0"/>
      <w:marRight w:val="0"/>
      <w:marTop w:val="0"/>
      <w:marBottom w:val="0"/>
      <w:divBdr>
        <w:top w:val="none" w:sz="0" w:space="0" w:color="auto"/>
        <w:left w:val="none" w:sz="0" w:space="0" w:color="auto"/>
        <w:bottom w:val="none" w:sz="0" w:space="0" w:color="auto"/>
        <w:right w:val="none" w:sz="0" w:space="0" w:color="auto"/>
      </w:divBdr>
      <w:divsChild>
        <w:div w:id="169961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ops.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CD75D-9270-417E-A769-25046D37E909}">
  <ds:schemaRefs>
    <ds:schemaRef ds:uri="http://www.w3.org/2001/XMLSchema"/>
  </ds:schemaRefs>
</ds:datastoreItem>
</file>

<file path=customXml/itemProps2.xml><?xml version="1.0" encoding="utf-8"?>
<ds:datastoreItem xmlns:ds="http://schemas.openxmlformats.org/officeDocument/2006/customXml" ds:itemID="{6099D5B8-2FD8-4ED3-9351-403EF58B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6538</Words>
  <Characters>39229</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45676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Rutkowski</dc:creator>
  <cp:keywords/>
  <dc:description/>
  <cp:lastModifiedBy>Konto Microsoft</cp:lastModifiedBy>
  <cp:revision>2</cp:revision>
  <cp:lastPrinted>2022-11-29T10:59:00Z</cp:lastPrinted>
  <dcterms:created xsi:type="dcterms:W3CDTF">2024-06-25T12:06:00Z</dcterms:created>
  <dcterms:modified xsi:type="dcterms:W3CDTF">2024-06-25T12:06:00Z</dcterms:modified>
</cp:coreProperties>
</file>