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Załącznik nr 1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Zgoda na przetwarzanie danych w ramach procesu rekrutacyjnego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Wyrażam zgodę na przetwarzanie moich danych osobowych w związku z prowadzoną rekrutacją na stanowisko.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8" w:history="1">
        <w:r w:rsidRPr="0028229A">
          <w:rPr>
            <w:rStyle w:val="Hipercze"/>
            <w:rFonts w:ascii="Lato" w:eastAsia="Times New Roman" w:hAnsi="Lato" w:cs="Times New Roman"/>
            <w:sz w:val="22"/>
            <w:szCs w:val="22"/>
          </w:rPr>
          <w:t>iod@metropoliagdansk.pl</w:t>
        </w:r>
      </w:hyperlink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</w:t>
      </w:r>
      <w:r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maksymalnie </w:t>
      </w: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6 miesięcy od zakończenia rekrutacji na dane stanowisko pracy.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center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right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>Podpis ………………………………………………………….</w:t>
      </w: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  <w:bookmarkStart w:id="0" w:name="_GoBack"/>
    </w:p>
    <w:bookmarkEnd w:id="0"/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lastRenderedPageBreak/>
        <w:t xml:space="preserve">Załącznik nr 2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Zgoda na przetwarzanie danych osobowych do przyszłych rekrutacji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Wyrażam zgodę na przetwarzanie moich danych osobowych dla przyszłych rekrutacji organizowanych przez administratora danych osobowych. Podstawą prawną przetwarzania jest zgoda osoby, której dane dotyczą z art. 6 ust. 1 lit a ogólnego rozporządzenia o ochronie danych. Podanie danych osobowych jest dobrowolne, ich niepodanie uniemożliwi prawidłowego przeprowadzenia procesu rekrutacyjnego.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Administratorem danych osobowych jest Stowarzyszenie Obszar Metropolitalny Gdańsk-Gdynia-Sopot, ul. Długi Targ 39/40, 80-830 Gdańsk. Kontakt z inspektorem ochrony danych jest możliwy za pośrednictwem adresu email </w:t>
      </w:r>
      <w:hyperlink r:id="rId9" w:history="1">
        <w:r w:rsidRPr="0028229A">
          <w:rPr>
            <w:rStyle w:val="Hipercze"/>
            <w:rFonts w:ascii="Lato" w:eastAsia="Times New Roman" w:hAnsi="Lato" w:cs="Times New Roman"/>
            <w:sz w:val="22"/>
            <w:szCs w:val="22"/>
          </w:rPr>
          <w:t>iod@metropoliagdansk.pl</w:t>
        </w:r>
      </w:hyperlink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Odbiorcami danych w rozumieniu mogą być podmioty świadczące obsługę techniczną i technologiczną w związku z prowadzeniem procesu rekrutacyjnego. Dane osobowe będą przechowywane przez okres 2 lat od dnia złożenia aplikacji i po tym okresie administrator danych może się zwrócić z prośbą o ich aktualizację lub w braku odpowiedzi dane zostaną usunięte.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 xml:space="preserve">Każdy ma prawo do żądania od administratora dostępu do swoich danych osobowych, ich sprostowania, usunięcia lub ograniczenia przetwarzania, a także do wniesienia sprzeciwu wobec przetwarzania oraz prawie do przenoszenia danych. Zgoda na przetwarzanie danych osobowych może być wycofana w każdym czasie bez wpływu na zgodność z prawem przetwarzania, którego dokonano na podstawie zgody przed jej cofnięciem. Podmiot danych może wnieść skargę do odpowiedniego organu nadzorczego. Administrator danych osobowych nie zamierza stosować technik zautomatyzowanego podejmowania decyzji, w tym profilowania. </w:t>
      </w: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both"/>
        <w:rPr>
          <w:rFonts w:ascii="Lato" w:eastAsia="Times New Roman" w:hAnsi="Lato" w:cs="Times New Roman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jc w:val="right"/>
        <w:rPr>
          <w:rFonts w:ascii="Lato" w:eastAsia="Times New Roman" w:hAnsi="Lato" w:cs="Times New Roman"/>
          <w:color w:val="000000" w:themeColor="text1"/>
          <w:sz w:val="22"/>
          <w:szCs w:val="22"/>
        </w:rPr>
      </w:pPr>
      <w:r w:rsidRPr="00816C03">
        <w:rPr>
          <w:rFonts w:ascii="Lato" w:eastAsia="Times New Roman" w:hAnsi="Lato" w:cs="Times New Roman"/>
          <w:color w:val="000000" w:themeColor="text1"/>
          <w:sz w:val="22"/>
          <w:szCs w:val="22"/>
        </w:rPr>
        <w:t>Podpis ………………………………………………………….</w:t>
      </w:r>
    </w:p>
    <w:p w:rsidR="00296325" w:rsidRPr="00816C03" w:rsidRDefault="00296325" w:rsidP="00296325">
      <w:pPr>
        <w:spacing w:line="276" w:lineRule="auto"/>
        <w:ind w:right="77"/>
        <w:jc w:val="right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296325" w:rsidRPr="00816C03" w:rsidRDefault="00296325" w:rsidP="00296325">
      <w:pPr>
        <w:spacing w:line="276" w:lineRule="auto"/>
        <w:ind w:right="77"/>
        <w:jc w:val="both"/>
        <w:rPr>
          <w:rFonts w:ascii="Lato" w:eastAsia="Lato" w:hAnsi="Lato" w:cs="Lato"/>
          <w:color w:val="000000" w:themeColor="text1"/>
          <w:sz w:val="22"/>
          <w:szCs w:val="22"/>
        </w:rPr>
      </w:pPr>
    </w:p>
    <w:p w:rsidR="008D4254" w:rsidRDefault="008D425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Lato" w:eastAsia="Lato" w:hAnsi="Lato" w:cs="Lato"/>
          <w:sz w:val="22"/>
          <w:szCs w:val="22"/>
        </w:rPr>
      </w:pPr>
    </w:p>
    <w:sectPr w:rsidR="008D4254">
      <w:headerReference w:type="default" r:id="rId10"/>
      <w:footerReference w:type="default" r:id="rId11"/>
      <w:pgSz w:w="11900" w:h="16840"/>
      <w:pgMar w:top="2665" w:right="1021" w:bottom="1583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FE" w:rsidRDefault="00DD21FE">
      <w:r>
        <w:separator/>
      </w:r>
    </w:p>
  </w:endnote>
  <w:endnote w:type="continuationSeparator" w:id="0">
    <w:p w:rsidR="00DD21FE" w:rsidRDefault="00DD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﷽﷽﷽﷽﷽﷽﷽﷽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﷽﷽﷽﷽﷽﷽﷽﷽坅牯d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54" w:rsidRDefault="008D4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FE" w:rsidRDefault="00DD21FE">
      <w:r>
        <w:separator/>
      </w:r>
    </w:p>
  </w:footnote>
  <w:footnote w:type="continuationSeparator" w:id="0">
    <w:p w:rsidR="00DD21FE" w:rsidRDefault="00DD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54" w:rsidRDefault="00DD2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4254" w:rsidRDefault="008D42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223"/>
    <w:multiLevelType w:val="multilevel"/>
    <w:tmpl w:val="C50AC00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1F96"/>
    <w:multiLevelType w:val="multilevel"/>
    <w:tmpl w:val="C488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6D49"/>
    <w:multiLevelType w:val="multilevel"/>
    <w:tmpl w:val="A15E0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D4704D"/>
    <w:multiLevelType w:val="multilevel"/>
    <w:tmpl w:val="10A84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3C0FBC"/>
    <w:multiLevelType w:val="multilevel"/>
    <w:tmpl w:val="A986F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A957AE8"/>
    <w:multiLevelType w:val="multilevel"/>
    <w:tmpl w:val="ED58D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0A23"/>
    <w:multiLevelType w:val="multilevel"/>
    <w:tmpl w:val="016248E8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Lato" w:hAnsi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54"/>
    <w:rsid w:val="00296325"/>
    <w:rsid w:val="008D4254"/>
    <w:rsid w:val="00D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DE9C3"/>
  <w15:docId w15:val="{AE48926A-B814-F447-AC9E-051ED4B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4D4A5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D4A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omylnaczcionkaakapitu"/>
    <w:rsid w:val="004D4A5A"/>
  </w:style>
  <w:style w:type="character" w:styleId="Nierozpoznanawzmianka">
    <w:name w:val="Unresolved Mention"/>
    <w:basedOn w:val="Domylnaczcionkaakapitu"/>
    <w:uiPriority w:val="99"/>
    <w:semiHidden/>
    <w:unhideWhenUsed/>
    <w:rsid w:val="00824D5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605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30086"/>
    <w:rPr>
      <w:color w:val="954F72" w:themeColor="followedHyperlink"/>
      <w:u w:val="single"/>
    </w:rPr>
  </w:style>
  <w:style w:type="paragraph" w:customStyle="1" w:styleId="default-style">
    <w:name w:val="default-style"/>
    <w:basedOn w:val="Normalny"/>
    <w:rsid w:val="00DD21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216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D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D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D8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D84"/>
    <w:rPr>
      <w:rFonts w:ascii="Times New Roman" w:hAnsi="Times New Roman" w:cs="Times New Roman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296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325"/>
  </w:style>
  <w:style w:type="paragraph" w:styleId="Stopka">
    <w:name w:val="footer"/>
    <w:basedOn w:val="Normalny"/>
    <w:link w:val="StopkaZnak"/>
    <w:uiPriority w:val="99"/>
    <w:unhideWhenUsed/>
    <w:rsid w:val="0029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gda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/eKt3h7kPHHWjbkEvdCM9dcosQ==">AMUW2mWlOHSnk4zvluGdlbsubpWbROkYWVY1cw9DmmTUs3YeSACL8J3L3I+yEjU7AyPCV/mDKxXQxwQ9LDwgtW03pod9sexQ/2+L5DPHLRoiibjbNDsN2cY=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Obszar Metropolitalny Gdańsk Gdynia Sopot</cp:lastModifiedBy>
  <cp:revision>2</cp:revision>
  <dcterms:created xsi:type="dcterms:W3CDTF">2021-02-08T09:32:00Z</dcterms:created>
  <dcterms:modified xsi:type="dcterms:W3CDTF">2021-09-10T10:04:00Z</dcterms:modified>
</cp:coreProperties>
</file>